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Default Extension="png" ContentType="image/png"/>
  <Override PartName="/word/settings.xml" ContentType="application/vnd.openxmlformats-officedocument.wordprocessingml.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webSettings.xml" ContentType="application/vnd.openxmlformats-officedocument.wordprocessingml.webSetting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w:body>
    <w:tbl>
      <w:tblPr>
        <w:tblStyle w:val="TableStyle0"/>
        <w:tblW w:w="0" w:type="auto"/>
        <w:tblLayout w:type="fixed"/>
        <w:tblCellMar>
          <w:left w:w="108" w:type="dxa"/>
          <w:right w:w="108" w:type="dxa"/>
        </w:tblCellMar>
        <w:tblLook w:val="04A0"/>
      </w:tblPr>
      <w:tblGrid>
        <w:gridCol w:w="499"/>
        <w:gridCol w:w="1654"/>
        <w:gridCol w:w="945"/>
        <w:gridCol w:w="945"/>
        <w:gridCol w:w="945"/>
        <w:gridCol w:w="945"/>
        <w:gridCol w:w="945"/>
        <w:gridCol w:w="945"/>
        <w:gridCol w:w="1037"/>
        <w:gridCol w:w="1011"/>
      </w:tblGrid>
      <w:tr>
        <w:trPr>
          <w:trHeight w:val="60" w:hRule="atLeast"/>
        </w:trPr>
        <w:tc>
          <w:tcPr>
            <w:tcW w:w="9871"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ТИПОВОЙ ДОГОВОР</w:t>
              <w:br/>
              <w:t>
горячего водоснабжения № 00055-Ц</w:t>
              <w:br/>
              <w:t>
</w:t>
            </w:r>
          </w:p>
        </w:tc>
      </w:tr>
      <w:tr>
        <w:trPr>
          <w:trHeight w:val="60" w:hRule="atLeast"/>
        </w:trPr>
        <w:tc>
          <w:tcPr>
            <w:tcW w:w="499" w:type="dxa"/>
            <w:shd w:val="clear" w:color="FFFFFF" w:fill="auto"/>
            <w:textDirection w:val="lrTb"/>
            <w:vAlign w:val="bottom"/>
          </w:tcPr>
          <w:p>
            <w:pPr>
              <w:wordWrap w:val="1"/>
              <w:jc w:val="both"/>
              <w:rPr>
                <w:rFonts w:ascii="Arial" w:hAnsi="Arial"/>
                <w:b/>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b/>
                <w:sz w:val="18"/>
                <w:szCs w:val="18"/>
              </w:rPr>
            </w:pPr>
          </w:p>
        </w:tc>
        <w:tc>
          <w:tcPr>
            <w:tcW w:w="945" w:type="dxa"/>
            <w:shd w:val="clear" w:color="FFFFFF" w:fill="auto"/>
            <w:textDirection w:val="lrTb"/>
            <w:vAlign w:val="bottom"/>
          </w:tcPr>
          <w:p>
            <w:pPr>
              <w:wordWrap w:val="1"/>
              <w:jc w:val="both"/>
              <w:rPr>
                <w:rFonts w:ascii="Arial" w:hAnsi="Arial"/>
                <w:b/>
                <w:sz w:val="18"/>
                <w:szCs w:val="18"/>
              </w:rPr>
            </w:pPr>
          </w:p>
        </w:tc>
        <w:tc>
          <w:tcPr>
            <w:tcW w:w="945" w:type="dxa"/>
            <w:shd w:val="clear" w:color="FFFFFF" w:fill="auto"/>
            <w:textDirection w:val="lrTb"/>
            <w:vAlign w:val="bottom"/>
          </w:tcPr>
          <w:p>
            <w:pPr>
              <w:wordWrap w:val="1"/>
              <w:jc w:val="right"/>
              <w:rPr>
                <w:rFonts w:ascii="Arial" w:hAnsi="Arial"/>
                <w:b/>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043" w:type="dxa"/>
            <w:gridSpan w:val="4"/>
            <w:shd w:val="clear" w:color="FFFFFF" w:fill="auto"/>
            <w:textDirection w:val="lrTb"/>
            <w:vAlign w:val="bottom"/>
          </w:tcPr>
          <w:p>
            <w:pPr>
              <w:wordWrap w:val="1"/>
              <w:jc w:val="both"/>
              <w:rPr>
                <w:rFonts w:ascii="Arial" w:hAnsi="Arial"/>
                <w:sz w:val="18"/>
                <w:szCs w:val="18"/>
              </w:rPr>
            </w:pPr>
            <w:r>
              <w:rPr>
                <w:rFonts w:ascii="Arial" w:hAnsi="Arial"/>
                <w:sz w:val="18"/>
                <w:szCs w:val="18"/>
              </w:rPr>
              <w:t>п. Чернышевский</w:t>
            </w: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3938" w:type="dxa"/>
            <w:gridSpan w:val="4"/>
            <w:shd w:val="clear" w:color="FFFFFF" w:fill="auto"/>
            <w:textDirection w:val="lrTb"/>
            <w:vAlign w:val="bottom"/>
          </w:tcPr>
          <w:p>
            <w:pPr>
              <w:wordWrap w:val="1"/>
              <w:jc w:val="right"/>
              <w:rPr>
                <w:rFonts w:ascii="Arial" w:hAnsi="Arial"/>
                <w:sz w:val="18"/>
                <w:szCs w:val="18"/>
              </w:rPr>
            </w:pPr>
            <w:r>
              <w:rPr>
                <w:rFonts w:ascii="Arial" w:hAnsi="Arial"/>
                <w:sz w:val="18"/>
                <w:szCs w:val="18"/>
              </w:rPr>
              <w:t>"___" ____________ "______ " г.</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Акционерное общество "Теплоэнергосервис", именуемое  в дальнейшем Организацией, осуществляющей горячее водоснабжение, в лице директора филиала  Фаткина Андрея Александровича, действующего на основании доверенности №43 от 28.11.2022г., с одной стороны, и Автономная некоммерческая дошкольная образовательная организация "Алмазик", именуемый(ое) в дальнейшем «Абонент», в лице исполнительного директора Мироненко Александра Васильевича, действующего на основании Устава, с другой стороны, именуемые в дальнейшем «Сторонами», заключили настоящий договор о нижеследующем:</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left"/>
              <w:rPr>
                <w:rFonts w:ascii="Arial" w:hAnsi="Arial"/>
                <w:b/>
                <w:sz w:val="18"/>
                <w:szCs w:val="18"/>
              </w:rPr>
            </w:pPr>
            <w:r>
              <w:rPr>
                <w:rFonts w:ascii="Arial" w:hAnsi="Arial"/>
                <w:b/>
                <w:sz w:val="18"/>
                <w:szCs w:val="18"/>
              </w:rPr>
              <w:t>I.          ПРЕДМЕТ ДОГОВОРА.</w:t>
            </w:r>
          </w:p>
        </w:tc>
      </w:tr>
      <w:tr>
        <w:trPr>
          <w:trHeight w:val="60" w:hRule="atLeast"/>
        </w:trPr>
        <w:tc>
          <w:tcPr>
            <w:tcW w:w="499" w:type="dxa"/>
            <w:shd w:val="clear" w:color="FFFFFF" w:fill="auto"/>
            <w:textDirection w:val="lrTb"/>
            <w:vAlign w:val="top"/>
          </w:tcPr>
          <w:p>
            <w:pPr>
              <w:wordWrap w:val="1"/>
              <w:jc w:val="left"/>
              <w:rPr>
                <w:rFonts w:ascii="Arial" w:hAnsi="Arial"/>
                <w:sz w:val="18"/>
                <w:szCs w:val="18"/>
              </w:rPr>
            </w:pPr>
            <w:r>
              <w:rPr>
                <w:rFonts w:ascii="Arial" w:hAnsi="Arial"/>
                <w:sz w:val="18"/>
                <w:szCs w:val="18"/>
              </w:rPr>
              <w:t>1. </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Организация, осуществляющая горячее водоснабжение, обязуется подавать Абоненту через присоединенную водопроводную сеть горячую воду из закрытых централизованных систем горячего водоснабжения установленного качества и в установленном объеме в соответствии с режимом ее подачи, определенном договором, а Абонент обязуется оплачивать принятую горячую воду и соблюдать предусмотренный договором режим потребления, обеспечивать безопасность эксплуатации находящихся в его ведении сетей горячего водоснабжения и исправность приборов учета (узлов учета) и оборудования, связанного с потреблением горячей воды.</w:t>
            </w:r>
          </w:p>
        </w:tc>
      </w:tr>
      <w:tr>
        <w:trPr>
          <w:trHeight w:val="60" w:hRule="atLeast"/>
        </w:trPr>
        <w:tc>
          <w:tcPr>
            <w:tcW w:w="499" w:type="dxa"/>
            <w:shd w:val="clear" w:color="FFFFFF" w:fill="auto"/>
            <w:textDirection w:val="lrTb"/>
            <w:vAlign w:val="top"/>
          </w:tcPr>
          <w:p>
            <w:pPr>
              <w:wordWrap w:val="1"/>
              <w:jc w:val="left"/>
              <w:rPr>
                <w:rFonts w:ascii="Arial" w:hAnsi="Arial"/>
                <w:sz w:val="18"/>
                <w:szCs w:val="18"/>
              </w:rPr>
            </w:pPr>
            <w:r>
              <w:rPr>
                <w:rFonts w:ascii="Arial" w:hAnsi="Arial"/>
                <w:sz w:val="18"/>
                <w:szCs w:val="18"/>
              </w:rPr>
              <w:t>2. </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Граница балансовой принадлежности объектов закрытой централизованной системы горячего водоснабжения Абонента и организации, осуществляющей горячее водоснабжение, и эксплуатационной ответственности указанных объектов осуществляющей горячее водоснабжение, определяется в соответствии с актом разграничения балансовой принадлежности и эксплуатационной ответственности, предусмотренным Приложением №1.</w:t>
            </w:r>
          </w:p>
        </w:tc>
      </w:tr>
      <w:tr>
        <w:trPr>
          <w:trHeight w:val="60" w:hRule="atLeast"/>
        </w:trPr>
        <w:tc>
          <w:tcPr>
            <w:tcW w:w="499" w:type="dxa"/>
            <w:shd w:val="clear" w:color="FFFFFF" w:fill="auto"/>
            <w:textDirection w:val="lrTb"/>
            <w:vAlign w:val="top"/>
          </w:tcPr>
          <w:p>
            <w:pPr>
              <w:wordWrap w:val="1"/>
              <w:jc w:val="left"/>
              <w:rPr>
                <w:rFonts w:ascii="Arial" w:hAnsi="Arial"/>
                <w:sz w:val="18"/>
                <w:szCs w:val="18"/>
              </w:rPr>
            </w:pPr>
            <w:r>
              <w:rPr>
                <w:rFonts w:ascii="Arial" w:hAnsi="Arial"/>
                <w:sz w:val="18"/>
                <w:szCs w:val="18"/>
              </w:rPr>
              <w:t>3. </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Сведения об установленной мощности, необходимой для осуществления горячего водоснабжения Абонента, в том числе с распределением указанной мощности по каждой точке подключения (технологического присоединения), а также о подключенной нагрузке, в пределах которой организация, осуществляющая горячее водоснабжение, принимает на себя обязательства обеспечить горячее водоснабжение Абонента, приведены в Приложении №2.</w:t>
            </w:r>
          </w:p>
        </w:tc>
      </w:tr>
      <w:tr>
        <w:trPr>
          <w:trHeight w:val="60" w:hRule="atLeast"/>
        </w:trPr>
        <w:tc>
          <w:tcPr>
            <w:tcW w:w="499" w:type="dxa"/>
            <w:shd w:val="clear" w:color="FFFFFF" w:fill="auto"/>
            <w:textDirection w:val="lrTb"/>
            <w:vAlign w:val="top"/>
          </w:tcPr>
          <w:p>
            <w:pPr>
              <w:wordWrap w:val="1"/>
              <w:jc w:val="left"/>
              <w:rPr>
                <w:rFonts w:ascii="Arial" w:hAnsi="Arial"/>
                <w:sz w:val="18"/>
                <w:szCs w:val="18"/>
              </w:rPr>
            </w:pPr>
            <w:r>
              <w:rPr>
                <w:rFonts w:ascii="Arial" w:hAnsi="Arial"/>
                <w:sz w:val="18"/>
                <w:szCs w:val="18"/>
              </w:rPr>
              <w:t>4. </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Местом исполнения обязательств по договору является точка на границе балансовой принадлежности и (или) эксплуатационной ответственности Абонента и организации, осуществляющей горячее водоснабжение по водопроводным сетям в соответствии с Приложением №1.</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left"/>
              <w:rPr>
                <w:rFonts w:ascii="Arial" w:hAnsi="Arial"/>
                <w:b/>
                <w:sz w:val="18"/>
                <w:szCs w:val="18"/>
              </w:rPr>
            </w:pPr>
            <w:r>
              <w:rPr>
                <w:rFonts w:ascii="Arial" w:hAnsi="Arial"/>
                <w:b/>
                <w:sz w:val="18"/>
                <w:szCs w:val="18"/>
              </w:rPr>
              <w:t>II.          СРОК И РЕЖИМ ПОДАЧИ (ПОТРЕБЛЕНИЯ) ГОРЯЧЕЙ ВОДЫ, УСТАНОВЛЕННАЯ МОЩНОСТЬ</w:t>
            </w:r>
          </w:p>
        </w:tc>
      </w:tr>
      <w:tr>
        <w:trPr>
          <w:trHeight w:val="60" w:hRule="atLeast"/>
        </w:trPr>
        <w:tc>
          <w:tcPr>
            <w:tcW w:w="499" w:type="dxa"/>
            <w:shd w:val="clear" w:color="FFFFFF" w:fill="auto"/>
            <w:textDirection w:val="lrTb"/>
            <w:vAlign w:val="top"/>
          </w:tcPr>
          <w:p>
            <w:pPr>
              <w:wordWrap w:val="1"/>
              <w:jc w:val="both"/>
              <w:rPr>
                <w:rFonts w:ascii="Arial" w:hAnsi="Arial"/>
                <w:sz w:val="18"/>
                <w:szCs w:val="18"/>
              </w:rPr>
            </w:pPr>
            <w:r>
              <w:rPr>
                <w:rFonts w:ascii="Arial" w:hAnsi="Arial"/>
                <w:sz w:val="18"/>
                <w:szCs w:val="18"/>
              </w:rPr>
              <w:t>5. </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Дата начала подачи горячей воды "01" января "2023 " г.</w:t>
            </w:r>
          </w:p>
        </w:tc>
      </w:tr>
      <w:tr>
        <w:trPr>
          <w:trHeight w:val="60" w:hRule="atLeast"/>
        </w:trPr>
        <w:tc>
          <w:tcPr>
            <w:tcW w:w="499" w:type="dxa"/>
            <w:shd w:val="clear" w:color="FFFFFF" w:fill="auto"/>
            <w:textDirection w:val="lrTb"/>
            <w:vAlign w:val="top"/>
          </w:tcPr>
          <w:p>
            <w:pPr>
              <w:wordWrap w:val="1"/>
              <w:jc w:val="both"/>
              <w:rPr>
                <w:rFonts w:ascii="Arial" w:hAnsi="Arial"/>
                <w:sz w:val="18"/>
                <w:szCs w:val="18"/>
              </w:rPr>
            </w:pPr>
            <w:r>
              <w:rPr>
                <w:rFonts w:ascii="Arial" w:hAnsi="Arial"/>
                <w:sz w:val="18"/>
                <w:szCs w:val="18"/>
              </w:rPr>
              <w:t>6. </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Организация, осуществляющая горячее водоснабжение, и Абонент обязуются соблюдать режим подачи горячей воды в точке подключения (технологического присоединения) согласно Приложению №3.</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left"/>
              <w:rPr>
                <w:rFonts w:ascii="Arial" w:hAnsi="Arial"/>
                <w:b/>
                <w:sz w:val="18"/>
                <w:szCs w:val="18"/>
              </w:rPr>
            </w:pPr>
            <w:r>
              <w:rPr>
                <w:rFonts w:ascii="Arial" w:hAnsi="Arial"/>
                <w:b/>
                <w:sz w:val="18"/>
                <w:szCs w:val="18"/>
              </w:rPr>
              <w:t>III.          ТАРИФЫ, СРОКИ И ПОРЯДОК ОПЛАТЫ ПО ДОГОВОРУ</w:t>
            </w:r>
          </w:p>
        </w:tc>
      </w:tr>
      <w:tr>
        <w:trPr>
          <w:trHeight w:val="60" w:hRule="atLeast"/>
        </w:trPr>
        <w:tc>
          <w:tcPr>
            <w:tcW w:w="499" w:type="dxa"/>
            <w:shd w:val="clear" w:color="FFFFFF" w:fill="auto"/>
            <w:textDirection w:val="lrTb"/>
            <w:vAlign w:val="top"/>
          </w:tcPr>
          <w:p>
            <w:pPr>
              <w:wordWrap w:val="1"/>
              <w:jc w:val="both"/>
              <w:rPr>
                <w:rFonts w:ascii="Arial" w:hAnsi="Arial"/>
                <w:sz w:val="18"/>
                <w:szCs w:val="18"/>
              </w:rPr>
            </w:pPr>
            <w:r>
              <w:rPr>
                <w:rFonts w:ascii="Arial" w:hAnsi="Arial"/>
                <w:sz w:val="18"/>
                <w:szCs w:val="18"/>
              </w:rPr>
              <w:t>7. </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Оплата по договору осуществляется Абонентами по двухкомпонентному тарифу на горячую воду (горячее водоснабжение), устанавливаемому в соответствии с Основами ценообразования в сфере водоснабжения и водоотведения, утвержденными постановлением Правительства Российской Федерации от 13 мая 2013 г. № 406.</w:t>
            </w:r>
          </w:p>
        </w:tc>
      </w:tr>
      <w:tr>
        <w:trPr>
          <w:trHeight w:val="60" w:hRule="atLeast"/>
        </w:trPr>
        <w:tc>
          <w:tcPr>
            <w:tcW w:w="499" w:type="dxa"/>
            <w:shd w:val="clear" w:color="FFFFFF" w:fill="auto"/>
            <w:textDirection w:val="lrTb"/>
            <w:vAlign w:val="top"/>
          </w:tcPr>
          <w:p>
            <w:pPr>
              <w:wordWrap w:val="1"/>
              <w:jc w:val="both"/>
              <w:rPr>
                <w:rFonts w:ascii="Arial" w:hAnsi="Arial"/>
                <w:sz w:val="18"/>
                <w:szCs w:val="18"/>
              </w:rPr>
            </w:pP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Двухкомпонентный тариф на горячую воду (горячее водоснабжение), установленный на момент заключения договора, составляет:</w:t>
            </w:r>
          </w:p>
        </w:tc>
      </w:tr>
      <w:tr>
        <w:trPr>
          <w:trHeight w:val="60" w:hRule="atLeast"/>
        </w:trPr>
        <w:tc>
          <w:tcPr>
            <w:tcW w:w="499" w:type="dxa"/>
            <w:shd w:val="clear" w:color="FFFFFF" w:fill="auto"/>
            <w:textDirection w:val="lrTb"/>
            <w:vAlign w:val="top"/>
          </w:tcPr>
          <w:p>
            <w:pPr>
              <w:wordWrap w:val="1"/>
              <w:jc w:val="both"/>
              <w:rPr>
                <w:rFonts w:ascii="Arial" w:hAnsi="Arial"/>
                <w:sz w:val="18"/>
                <w:szCs w:val="18"/>
              </w:rPr>
            </w:pP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компонент на холодную воду – в соответствии с решением регулирующего органа</w:t>
            </w:r>
          </w:p>
        </w:tc>
      </w:tr>
      <w:tr>
        <w:trPr>
          <w:trHeight w:val="60" w:hRule="atLeast"/>
        </w:trPr>
        <w:tc>
          <w:tcPr>
            <w:tcW w:w="499" w:type="dxa"/>
            <w:shd w:val="clear" w:color="FFFFFF" w:fill="auto"/>
            <w:textDirection w:val="lrTb"/>
            <w:vAlign w:val="top"/>
          </w:tcPr>
          <w:p>
            <w:pPr>
              <w:wordWrap w:val="1"/>
              <w:jc w:val="both"/>
              <w:rPr>
                <w:rFonts w:ascii="Arial" w:hAnsi="Arial"/>
                <w:sz w:val="18"/>
                <w:szCs w:val="18"/>
              </w:rPr>
            </w:pP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компонент на тепловую энергию - в соответствии с решением регулирующего органа </w:t>
            </w:r>
          </w:p>
        </w:tc>
      </w:tr>
      <w:tr>
        <w:trPr>
          <w:trHeight w:val="60" w:hRule="atLeast"/>
        </w:trPr>
        <w:tc>
          <w:tcPr>
            <w:tcW w:w="499" w:type="dxa"/>
            <w:shd w:val="clear" w:color="FFFFFF" w:fill="auto"/>
            <w:textDirection w:val="lrTb"/>
            <w:vAlign w:val="top"/>
          </w:tcPr>
          <w:p>
            <w:pPr>
              <w:wordWrap w:val="1"/>
              <w:jc w:val="both"/>
              <w:rPr>
                <w:rFonts w:ascii="Arial" w:hAnsi="Arial"/>
                <w:sz w:val="18"/>
                <w:szCs w:val="18"/>
              </w:rPr>
            </w:pPr>
            <w:r>
              <w:rPr>
                <w:rFonts w:ascii="Arial" w:hAnsi="Arial"/>
                <w:sz w:val="18"/>
                <w:szCs w:val="18"/>
              </w:rPr>
              <w:t>8. </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За расчетный период для оплаты по договору принимается 1 календарный месяц.</w:t>
            </w:r>
          </w:p>
        </w:tc>
      </w:tr>
      <w:tr>
        <w:trPr>
          <w:trHeight w:val="60" w:hRule="atLeast"/>
        </w:trPr>
        <w:tc>
          <w:tcPr>
            <w:tcW w:w="499" w:type="dxa"/>
            <w:shd w:val="clear" w:color="FFFFFF" w:fill="auto"/>
            <w:textDirection w:val="lrTb"/>
            <w:vAlign w:val="top"/>
          </w:tcPr>
          <w:p>
            <w:pPr>
              <w:wordWrap w:val="1"/>
              <w:jc w:val="both"/>
              <w:rPr>
                <w:rFonts w:ascii="Arial" w:hAnsi="Arial"/>
                <w:sz w:val="18"/>
                <w:szCs w:val="18"/>
              </w:rPr>
            </w:pPr>
            <w:r>
              <w:rPr>
                <w:rFonts w:ascii="Arial" w:hAnsi="Arial"/>
                <w:sz w:val="18"/>
                <w:szCs w:val="18"/>
              </w:rPr>
              <w:t>9. </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Абонент оплачивает полученную горячую воду в объеме потребленной горячей воды до 10-го числа месяца, следующего за расчетным, на основании счетов-фактур, выставляемых к оплате организацией, осуществляющей горячее водоснабжение, не позднее 5-го числа месяца, следующего за расчетным. Датой оплаты считается дата поступления денежных средств на расчетный счет организации, осуществляющей горячее водоснабжение.</w:t>
              <w:br/>
              <w:t>
В случае если выставление организацией, осуществляющей горячее водоснабжение, расчетно-платежных документов Абоненту осуществляется посредством электронного документооборота с использованием электронной подписи, такой электронный документооборот осуществляется  в соответствии с соглашением об осуществлении электронного документооборота, заключенным по форме согласно приложению № 6.</w:t>
              <w:br/>
              <w:t>
Соглашение об осуществлении электронного документооборота, приведенное  в приложении № 6 к настоящему контракту, подлежит подписанию сторонами настоящего контракта и становится неотъемлемой частью настоящего  контракта в случае, если абзацем первым настоящего пункта предусмотрено, что выставление расчетно-платежных документов должно осуществляться посредством электронного документооборота с использованием электронной подписи.</w:t>
              <w:br/>
              <w:t>
</w:t>
            </w:r>
          </w:p>
        </w:tc>
      </w:tr>
      <w:tr>
        <w:trPr>
          <w:trHeight w:val="60" w:hRule="atLeast"/>
        </w:trPr>
        <w:tc>
          <w:tcPr>
            <w:tcW w:w="499" w:type="dxa"/>
            <w:shd w:val="clear" w:color="FFFFFF" w:fill="auto"/>
            <w:textDirection w:val="lrTb"/>
            <w:vAlign w:val="top"/>
          </w:tcPr>
          <w:p>
            <w:pPr>
              <w:wordWrap w:val="1"/>
              <w:jc w:val="both"/>
              <w:rPr>
                <w:rFonts w:ascii="Arial" w:hAnsi="Arial"/>
                <w:sz w:val="18"/>
                <w:szCs w:val="18"/>
              </w:rPr>
            </w:pPr>
            <w:r>
              <w:rPr>
                <w:rFonts w:ascii="Arial" w:hAnsi="Arial"/>
                <w:sz w:val="18"/>
                <w:szCs w:val="18"/>
              </w:rPr>
              <w:t>10. </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При размещении приборов учета (узлов учета) не на границе балансовой  принадлежности  величина  потерь  горячей воды, возникающих на участке сети от границы балансовой принадлежности до места установки приборов учета (узлов учета), составляет: рассчитывается в соответствии с Методическими указаниями, утвержденными уполномоченными органами. Величина потерь горячей воды подлежит оплате в порядке, предусмотренном пунктом 9 настоящего договора, дополнительно к оплате объема потребленной горячей воды в расчетном периоде.</w:t>
            </w:r>
          </w:p>
        </w:tc>
      </w:tr>
      <w:tr>
        <w:trPr>
          <w:trHeight w:val="60" w:hRule="atLeast"/>
        </w:trPr>
        <w:tc>
          <w:tcPr>
            <w:tcW w:w="499" w:type="dxa"/>
            <w:shd w:val="clear" w:color="FFFFFF" w:fill="auto"/>
            <w:textDirection w:val="lrTb"/>
            <w:vAlign w:val="top"/>
          </w:tcPr>
          <w:p>
            <w:pPr>
              <w:wordWrap w:val="1"/>
              <w:jc w:val="both"/>
              <w:rPr>
                <w:rFonts w:ascii="Arial" w:hAnsi="Arial"/>
                <w:sz w:val="18"/>
                <w:szCs w:val="18"/>
              </w:rPr>
            </w:pPr>
            <w:r>
              <w:rPr>
                <w:rFonts w:ascii="Arial" w:hAnsi="Arial"/>
                <w:sz w:val="18"/>
                <w:szCs w:val="18"/>
              </w:rPr>
              <w:t>11. </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Сверка расчетов по настоящему договору проводится между организацией, осуществляющей горячее водоснабжение, и Абонентами не реже 1 раза в год либо по инициативе одной из сторон, но не чаще 1 раза в квартал, путем составления и подписания сторонами акта сверки расчетов. Сторона, инициирующая проведение сверки расчетов по настоящему договору, составляет и направляет в адрес другой стороны акт сверки расчетов в 2 экземплярах. Срок подписания акта устанавливается в течение 3 рабочих дней с даты его получения. Акт сверки расчетов считается согласованным обеими сторонами в случае неполучения ответа в течение 10 рабочих дней после его направления стороне.</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left"/>
              <w:rPr>
                <w:rFonts w:ascii="Arial" w:hAnsi="Arial"/>
                <w:b/>
                <w:sz w:val="18"/>
                <w:szCs w:val="18"/>
              </w:rPr>
            </w:pPr>
            <w:r>
              <w:rPr>
                <w:rFonts w:ascii="Arial" w:hAnsi="Arial"/>
                <w:b/>
                <w:sz w:val="18"/>
                <w:szCs w:val="18"/>
              </w:rPr>
              <w:t>IV.          ПРАВА И ОБЯЗАННОСТИ СТОРОН</w:t>
            </w:r>
          </w:p>
        </w:tc>
      </w:tr>
      <w:tr>
        <w:trPr>
          <w:trHeight w:val="60" w:hRule="atLeast"/>
        </w:trPr>
        <w:tc>
          <w:tcPr>
            <w:tcW w:w="499" w:type="dxa"/>
            <w:shd w:val="clear" w:color="FFFFFF" w:fill="auto"/>
            <w:textDirection w:val="lrTb"/>
            <w:vAlign w:val="bottom"/>
          </w:tcPr>
          <w:p>
            <w:pPr>
              <w:wordWrap w:val="1"/>
              <w:jc w:val="both"/>
              <w:rPr>
                <w:rFonts w:ascii="Arial" w:hAnsi="Arial"/>
                <w:b/>
                <w:sz w:val="18"/>
                <w:szCs w:val="18"/>
              </w:rPr>
            </w:pPr>
            <w:r>
              <w:rPr>
                <w:rFonts w:ascii="Arial" w:hAnsi="Arial"/>
                <w:b/>
                <w:sz w:val="18"/>
                <w:szCs w:val="18"/>
              </w:rPr>
              <w:t>12. </w:t>
            </w:r>
          </w:p>
        </w:tc>
        <w:tc>
          <w:tcPr>
            <w:tcW w:w="9372" w:type="dxa"/>
            <w:gridSpan w:val="9"/>
            <w:shd w:val="clear" w:color="FFFFFF" w:fill="auto"/>
            <w:textDirection w:val="lrTb"/>
            <w:vAlign w:val="bottom"/>
          </w:tcPr>
          <w:p>
            <w:pPr>
              <w:wordWrap w:val="1"/>
              <w:jc w:val="both"/>
              <w:rPr>
                <w:rFonts w:ascii="Arial" w:hAnsi="Arial"/>
                <w:b/>
                <w:sz w:val="18"/>
                <w:szCs w:val="18"/>
              </w:rPr>
            </w:pPr>
            <w:r>
              <w:rPr>
                <w:rFonts w:ascii="Arial" w:hAnsi="Arial"/>
                <w:b/>
                <w:sz w:val="18"/>
                <w:szCs w:val="18"/>
              </w:rPr>
              <w:t>Организация, осуществляющая горячее водоснабжение, обязана:</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а) обеспечивать эксплуатацию объектов централизованной системы горячего водоснабжения, в том числе водопроводных сетей, по которым осуществляется транспортировка горячей воды, принадлежащих организации, осуществляющей горячее водоснабжение, на праве собственности или ином законном основании и (или) находящихся в границах эксплуатационной ответственности такой организации в соответствии с требованиями нормативно-технических документов;</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б) обеспечивать бесперебойный режим подачи горячей воды в точке подключения (технологического присоединения), предусмотренный Приложением №3 к настоящему договору, кроме случаев временного прекращения или ограничения горячего водоснабжения, предусмотренных Федеральным законом "О водоснабжении и водоотведении";</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в) не допускать ухудшения качества питьевой воды ниже показателей, установленных законодательством Российской Федерации в сфере обеспечения санитарно-эпидемиологического благополучия населения;</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г) осуществлять допуск к эксплуатации приборов учета (узлов учета) горячей воды;</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д) проводить производственный контроль качества горячей воды, в том числе температуры подачи горячей воды;</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е) уведомлять Абонента о временном прекращении или ограничении горячего водоснабжения в порядке, предусмотренном настоящим договором;</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ж) принимать необходимые меры по своевременной ликвидации последствий аварий и инцидентов на объектах централизованной системы горячего водоснабжения, в том числе на водопроводных сетях, по которым осуществляется транспортировка горячей воды, принадлежащих организации, осуществляющей горячее водоснабжение, на праве собственности или ином законном основании и (или) находящихся в границах эксплуатационной ответственности такой организации, в порядке и сроки, которые установлены нормативно-техническими документами, а также меры по возобновлению действия таких объектов и сетей с соблюдением требований законодательства Российской Федерации в сфере обеспечения санитарно-эпидемиологического благополучия населения и технического регулирования;</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з) уведомлять Абонента в случае передачи прав владения на объекты централизованных систем горячего водоснабжения, в том числе на водопроводные сети горячего водоснабжения, и (или) пользования такими сетями и объектами третьим лицам, об изменении наименования, организационно-правовой формы, местонахождения, а также иных сведений, которые могут повлиять на исполнение настоящего договора, в течение 5 рабочих дней со дня такого изменения.</w:t>
            </w:r>
          </w:p>
        </w:tc>
      </w:tr>
      <w:tr>
        <w:trPr>
          <w:trHeight w:val="60" w:hRule="atLeast"/>
        </w:trPr>
        <w:tc>
          <w:tcPr>
            <w:tcW w:w="499" w:type="dxa"/>
            <w:shd w:val="clear" w:color="FFFFFF" w:fill="auto"/>
            <w:textDirection w:val="lrTb"/>
            <w:vAlign w:val="bottom"/>
          </w:tcPr>
          <w:p>
            <w:pPr>
              <w:wordWrap w:val="1"/>
              <w:jc w:val="both"/>
              <w:rPr>
                <w:rFonts w:ascii="Arial" w:hAnsi="Arial"/>
                <w:b/>
                <w:sz w:val="18"/>
                <w:szCs w:val="18"/>
              </w:rPr>
            </w:pPr>
            <w:r>
              <w:rPr>
                <w:rFonts w:ascii="Arial" w:hAnsi="Arial"/>
                <w:b/>
                <w:sz w:val="18"/>
                <w:szCs w:val="18"/>
              </w:rPr>
              <w:t>13.</w:t>
            </w:r>
          </w:p>
        </w:tc>
        <w:tc>
          <w:tcPr>
            <w:tcW w:w="9372" w:type="dxa"/>
            <w:gridSpan w:val="9"/>
            <w:shd w:val="clear" w:color="FFFFFF" w:fill="auto"/>
            <w:textDirection w:val="lrTb"/>
            <w:vAlign w:val="bottom"/>
          </w:tcPr>
          <w:p>
            <w:pPr>
              <w:wordWrap w:val="1"/>
              <w:jc w:val="both"/>
              <w:rPr>
                <w:rFonts w:ascii="Arial" w:hAnsi="Arial"/>
                <w:b/>
                <w:sz w:val="18"/>
                <w:szCs w:val="18"/>
              </w:rPr>
            </w:pPr>
            <w:r>
              <w:rPr>
                <w:rFonts w:ascii="Arial" w:hAnsi="Arial"/>
                <w:b/>
                <w:sz w:val="18"/>
                <w:szCs w:val="18"/>
              </w:rPr>
              <w:t xml:space="preserve"> Организация, осуществляющая горячее водоснабжение, имеет право:</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а) осуществлять контроль за правильностью учета объемов поданной Абоненту горячей воды;</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б) осуществлять контроль за фактами самовольного пользования и (или) самовольного подключения (технологического присоединения) Абонента к централизованным системам горячего водоснабжения путем обхода  Абонента и (или) визуального осмотра объекта по месту расположения, а также принимать меры по предотвращению самовольного пользования и (или) самовольного подключения (технологического присоединения) Абонента к централизованным системам горячего водоснабжения;</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в) временно прекращать или ограничивать горячее водоснабжение в случаях, установленных законодательством Российской Федерации;</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г) осуществлять доступ к сетям горячего водоснабжения, местам отбора проб горячей воды, приборам учета (узлам учета), принадлежащим Абоненту, для контрольного снятия показаний приборов учета (узлов учета), в том числе с использованием систем дистанционного снятия показаний, а также для осмотра сетей горячего водоснабжения и оборудования в случаях и порядке, которые предусмотрены разделом VI настоящего договора;</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д) требовать от Абонента поддержания в точке подключения (технологического присоединения) режима потребления горячей воды, предусмотренного Приложением №3 к настоящему договору.</w:t>
            </w:r>
          </w:p>
        </w:tc>
      </w:tr>
      <w:tr>
        <w:trPr>
          <w:trHeight w:val="60" w:hRule="atLeast"/>
        </w:trPr>
        <w:tc>
          <w:tcPr>
            <w:tcW w:w="499" w:type="dxa"/>
            <w:shd w:val="clear" w:color="FFFFFF" w:fill="auto"/>
            <w:textDirection w:val="lrTb"/>
            <w:vAlign w:val="bottom"/>
          </w:tcPr>
          <w:p>
            <w:pPr>
              <w:wordWrap w:val="1"/>
              <w:jc w:val="both"/>
              <w:rPr>
                <w:rFonts w:ascii="Arial" w:hAnsi="Arial"/>
                <w:b/>
                <w:sz w:val="18"/>
                <w:szCs w:val="18"/>
              </w:rPr>
            </w:pPr>
            <w:r>
              <w:rPr>
                <w:rFonts w:ascii="Arial" w:hAnsi="Arial"/>
                <w:b/>
                <w:sz w:val="18"/>
                <w:szCs w:val="18"/>
              </w:rPr>
              <w:t>14.</w:t>
            </w:r>
          </w:p>
        </w:tc>
        <w:tc>
          <w:tcPr>
            <w:tcW w:w="9372" w:type="dxa"/>
            <w:gridSpan w:val="9"/>
            <w:shd w:val="clear" w:color="FFFFFF" w:fill="auto"/>
            <w:textDirection w:val="lrTb"/>
            <w:vAlign w:val="bottom"/>
          </w:tcPr>
          <w:p>
            <w:pPr>
              <w:wordWrap w:val="1"/>
              <w:jc w:val="both"/>
              <w:rPr>
                <w:rFonts w:ascii="Arial" w:hAnsi="Arial"/>
                <w:b/>
                <w:sz w:val="18"/>
                <w:szCs w:val="18"/>
              </w:rPr>
            </w:pPr>
            <w:r>
              <w:rPr>
                <w:rFonts w:ascii="Arial" w:hAnsi="Arial"/>
                <w:b/>
                <w:sz w:val="18"/>
                <w:szCs w:val="18"/>
              </w:rPr>
              <w:t>Абонент обязан:</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а) обеспечить эксплуатацию сетей горячего водоснабжения и объектов, на которых осуществляется потребление горячей воды, принадлежащих Абоненту на праве собственности или ином законном основании и (или) находящихся в границах его эксплуатационной ответственности, а также замену и поверку принадлежащих Абоненту приборов учета в соответствии с правилами организации коммерческого учета воды, сточных вод;</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б) обеспечить сохранность пломб и знаков поверки на приборах учета (узлах учета), кранах и задвижках на их обводах и других устройствах, находящихся в границах эксплуатационной ответственности Абонента. Нарушение сохранности пломб (в том числе их отсутствие) влечет за собой применение расчетного способа при определении количества полученной за определенный период горячей воды в порядке, предусмотренном законодательством Российской Федерации;</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в) обеспечить учет поданной (полученной) горячей воды в соответствии с порядком, установленным разделом V настоящего договора и правилами организации коммерческого учета воды, сточных вод;</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г) соблюдать установленный договором режим потребления горячей воды, не увеличивать размер подключенной нагрузки;</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д) производить оплату горячего водоснабжения в порядке, размере и в сроки, которые определены настоящим договором;</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е) обеспечить доступ представителям организации, осуществляющей горячее водоснабжение, или по ее указанию представителям иной организации к приборам учета (узлам учета), местам отбора проб горячей воды, расположенным в зоне эксплуатационной ответственности Абонента, для проверки представляемых Абонентами сведений в случаях и порядке, которые предусмотрены разделом VI настоящего договора;</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ж) обеспечить доступ представителям организации, осуществляющей горячее водоснабжение, или по ее указанию представителям иной организации к сетям горячего водоснабжения, приборам учета (узлам учета), находящимся в границах эксплуатационной ответственности Абонента, для осмотра и проведения эксплуатационных работ;</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з) в случае передачи прав владения и (или) предоставления прав пользования объектом, подключенным к централизованной системе горячего водоснабжения, третьим лицам, изменении Абонентами наименования и местонахождения (адреса), а также иных сведений, которые могут повлиять на исполнение настоящего договора, уведомить организацию, осуществляющую горячее водоснабжение, в течение 5 рабочих дней со дня такого изменения;</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и) незамедлительно сообщать организации, осуществляющей горячее водоснабжение, обо всех авариях и инцидентах на объектах, в том числе сетях горячего водоснабжения, на которых осуществляется потребление горячей воды, и приборах учета (узлах учета), находящихся в границах его эксплуатационной ответственности;</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к) в случае увеличения подключенной тепловой нагрузки (мощности) для целей горячего водоснабжения сверх мощности, предусмотренной настоящим договором, но необходимой для осуществления горячего водоснабжения Абонента, обратиться в организацию, осуществляющую горячее водоснабжение, для заключения договора о подключении (технологическом присоединении) к централизованной системе горячего водоснабжения в установленном порядке;</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л) установить приборы учета (оборудовать узлы учета), в случае отсутствия таковых на дату заключения настоящего договора, в соответствии с требованиями законодательства РФ об обеспечении единства измерений.</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м) ежемесячно до 10 числа месяца, следующего за расчетным, Абонент направляет организации водопроводно-канализационного хозяйства, данные о фактических объемах горячей воды и начисленных платежей льготной категории потребителей в разрезе лицевых счетов, внесенных платежах и дебиторской задолженности льготной категории потребителей в соответствии с п/п «З» п.2.5.3 раздела II Приказа МинЖКХиЭ РС(Я) №450-п от 27.09.2017г</w:t>
            </w:r>
          </w:p>
        </w:tc>
      </w:tr>
      <w:tr>
        <w:trPr>
          <w:trHeight w:val="60" w:hRule="atLeast"/>
        </w:trPr>
        <w:tc>
          <w:tcPr>
            <w:tcW w:w="499" w:type="dxa"/>
            <w:shd w:val="clear" w:color="FFFFFF" w:fill="auto"/>
            <w:textDirection w:val="lrTb"/>
            <w:vAlign w:val="bottom"/>
          </w:tcPr>
          <w:p>
            <w:pPr>
              <w:wordWrap w:val="1"/>
              <w:jc w:val="both"/>
              <w:rPr>
                <w:rFonts w:ascii="Arial" w:hAnsi="Arial"/>
                <w:b/>
                <w:sz w:val="18"/>
                <w:szCs w:val="18"/>
              </w:rPr>
            </w:pPr>
            <w:r>
              <w:rPr>
                <w:rFonts w:ascii="Arial" w:hAnsi="Arial"/>
                <w:b/>
                <w:sz w:val="18"/>
                <w:szCs w:val="18"/>
              </w:rPr>
              <w:t>15. </w:t>
            </w:r>
          </w:p>
        </w:tc>
        <w:tc>
          <w:tcPr>
            <w:tcW w:w="9372" w:type="dxa"/>
            <w:gridSpan w:val="9"/>
            <w:shd w:val="clear" w:color="FFFFFF" w:fill="auto"/>
            <w:textDirection w:val="lrTb"/>
            <w:vAlign w:val="bottom"/>
          </w:tcPr>
          <w:p>
            <w:pPr>
              <w:wordWrap w:val="1"/>
              <w:jc w:val="both"/>
              <w:rPr>
                <w:rFonts w:ascii="Arial" w:hAnsi="Arial"/>
                <w:b/>
                <w:sz w:val="18"/>
                <w:szCs w:val="18"/>
              </w:rPr>
            </w:pPr>
            <w:r>
              <w:rPr>
                <w:rFonts w:ascii="Arial" w:hAnsi="Arial"/>
                <w:b/>
                <w:sz w:val="18"/>
                <w:szCs w:val="18"/>
              </w:rPr>
              <w:t>Абонент имеет право:</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а) требовать от организации, осуществляющей горячее водоснабжение, поддержания в точке подключения (технологического присоединения) режима подачи горячей воды, предусмотренного приложением №3 к настоящему контракту;</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б) получать информацию о качестве горячей воды;</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в) присутствовать при проверках объектов централизованной системы горячего водоснабжения, в том числе приборов учета (узлов учета), принадлежащих Абоненту, проводимых представителями организации или по ее указанию представителями иной организации;</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г) осуществлять проверку качества горячей воды, в том числе температуры горячей воды;</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д) предоставлять иным потребителям и организациям, осуществляющим транспортировку горячей воды, возможность подключения (технологического присоединения) к сетям горячего водоснабжения и (или) объектам, на которых осуществляется потребление горячей воды, принадлежащим на законном основании Абоненту, при наличии согласования с организацией, осуществляющей горячее водоснабжение;</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е) расторгнуть настоящий договор в случаях, установленных законодательством Российской Федерации и настоящим договором.</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left"/>
              <w:rPr>
                <w:rFonts w:ascii="Arial" w:hAnsi="Arial"/>
                <w:b/>
                <w:sz w:val="18"/>
                <w:szCs w:val="18"/>
              </w:rPr>
            </w:pPr>
            <w:r>
              <w:rPr>
                <w:rFonts w:ascii="Arial" w:hAnsi="Arial"/>
                <w:b/>
                <w:sz w:val="18"/>
                <w:szCs w:val="18"/>
              </w:rPr>
              <w:t>V.         ПОРЯДОК ОСУЩЕСТВЛЕНИЯ УЧЕТА ПОДАННОЙ (ПОЛУЧЕННОЙ) ГОРЯЧЕЙ ВОДЫ</w:t>
            </w:r>
          </w:p>
        </w:tc>
      </w:tr>
      <w:tr>
        <w:trPr>
          <w:trHeight w:val="60" w:hRule="atLeast"/>
        </w:trPr>
        <w:tc>
          <w:tcPr>
            <w:tcW w:w="499" w:type="dxa"/>
            <w:shd w:val="clear" w:color="FFFFFF" w:fill="auto"/>
            <w:textDirection w:val="lrTb"/>
            <w:vAlign w:val="top"/>
          </w:tcPr>
          <w:p>
            <w:pPr>
              <w:wordWrap w:val="1"/>
              <w:jc w:val="both"/>
              <w:rPr>
                <w:rFonts w:ascii="Arial" w:hAnsi="Arial"/>
                <w:sz w:val="18"/>
                <w:szCs w:val="18"/>
              </w:rPr>
            </w:pPr>
            <w:r>
              <w:rPr>
                <w:rFonts w:ascii="Arial" w:hAnsi="Arial"/>
                <w:sz w:val="18"/>
                <w:szCs w:val="18"/>
              </w:rPr>
              <w:t>16.</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Для учета поданной (полученной) Абоненту горячей воды используются средства измерения.</w:t>
            </w:r>
          </w:p>
        </w:tc>
      </w:tr>
      <w:tr>
        <w:trPr>
          <w:trHeight w:val="60" w:hRule="atLeast"/>
        </w:trPr>
        <w:tc>
          <w:tcPr>
            <w:tcW w:w="499" w:type="dxa"/>
            <w:shd w:val="clear" w:color="FFFFFF" w:fill="auto"/>
            <w:textDirection w:val="lrTb"/>
            <w:vAlign w:val="top"/>
          </w:tcPr>
          <w:p>
            <w:pPr>
              <w:wordWrap w:val="1"/>
              <w:jc w:val="both"/>
              <w:rPr>
                <w:rFonts w:ascii="Arial" w:hAnsi="Arial"/>
                <w:sz w:val="18"/>
                <w:szCs w:val="18"/>
              </w:rPr>
            </w:pPr>
            <w:r>
              <w:rPr>
                <w:rFonts w:ascii="Arial" w:hAnsi="Arial"/>
                <w:sz w:val="18"/>
                <w:szCs w:val="18"/>
              </w:rPr>
              <w:t>17. </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Сведения о приборах учета (узлах учета) и местах отбора проб горячей воды содержатся в Приложении №4.</w:t>
            </w:r>
          </w:p>
        </w:tc>
      </w:tr>
      <w:tr>
        <w:trPr>
          <w:trHeight w:val="60" w:hRule="atLeast"/>
        </w:trPr>
        <w:tc>
          <w:tcPr>
            <w:tcW w:w="499" w:type="dxa"/>
            <w:shd w:val="clear" w:color="FFFFFF" w:fill="auto"/>
            <w:textDirection w:val="lrTb"/>
            <w:vAlign w:val="top"/>
          </w:tcPr>
          <w:p>
            <w:pPr>
              <w:wordWrap w:val="1"/>
              <w:jc w:val="both"/>
              <w:rPr>
                <w:rFonts w:ascii="Arial" w:hAnsi="Arial"/>
                <w:sz w:val="18"/>
                <w:szCs w:val="18"/>
              </w:rPr>
            </w:pPr>
            <w:r>
              <w:rPr>
                <w:rFonts w:ascii="Arial" w:hAnsi="Arial"/>
                <w:sz w:val="18"/>
                <w:szCs w:val="18"/>
              </w:rPr>
              <w:t>18.</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Коммерческий учет поданной горячей воды обеспечивает Абонент.</w:t>
            </w:r>
          </w:p>
        </w:tc>
      </w:tr>
      <w:tr>
        <w:trPr>
          <w:trHeight w:val="60" w:hRule="atLeast"/>
        </w:trPr>
        <w:tc>
          <w:tcPr>
            <w:tcW w:w="499" w:type="dxa"/>
            <w:shd w:val="clear" w:color="FFFFFF" w:fill="auto"/>
            <w:textDirection w:val="lrTb"/>
            <w:vAlign w:val="top"/>
          </w:tcPr>
          <w:p>
            <w:pPr>
              <w:wordWrap w:val="1"/>
              <w:jc w:val="both"/>
              <w:rPr>
                <w:rFonts w:ascii="Arial" w:hAnsi="Arial"/>
                <w:sz w:val="18"/>
                <w:szCs w:val="18"/>
              </w:rPr>
            </w:pPr>
            <w:r>
              <w:rPr>
                <w:rFonts w:ascii="Arial" w:hAnsi="Arial"/>
                <w:sz w:val="18"/>
                <w:szCs w:val="18"/>
              </w:rPr>
              <w:t>19. </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Объем поданной (полученной) горячей воды определяется стороной, осуществляющей коммерческий учет сточных вод, исходя из объема потребления горячей воды и тепловой энергии в составе горячей воды согласно показаниям приборов учета или расчетным способом в случаях, предусмотренных Федеральным законом "О водоснабжении и водоотведении".</w:t>
            </w:r>
          </w:p>
        </w:tc>
      </w:tr>
      <w:tr>
        <w:trPr>
          <w:trHeight w:val="60" w:hRule="atLeast"/>
        </w:trPr>
        <w:tc>
          <w:tcPr>
            <w:tcW w:w="499" w:type="dxa"/>
            <w:shd w:val="clear" w:color="FFFFFF" w:fill="auto"/>
            <w:textDirection w:val="lrTb"/>
            <w:vAlign w:val="top"/>
          </w:tcPr>
          <w:p>
            <w:pPr>
              <w:wordWrap w:val="1"/>
              <w:jc w:val="both"/>
              <w:rPr>
                <w:rFonts w:ascii="Arial" w:hAnsi="Arial"/>
                <w:sz w:val="18"/>
                <w:szCs w:val="18"/>
              </w:rPr>
            </w:pPr>
            <w:r>
              <w:rPr>
                <w:rFonts w:ascii="Arial" w:hAnsi="Arial"/>
                <w:sz w:val="18"/>
                <w:szCs w:val="18"/>
              </w:rPr>
              <w:t>20. </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Абонент снимает показания приборов учета объемов потребления горячей воды на последнее число расчетного периода, установленного настоящим договором, вносит показания приборов учета в журнал учета потребления горячей воды и передает указанные сведения в организацию, существляющую горячее водоснабжение, не позднее 02 числа месяца, следующего за расчетным.</w:t>
            </w:r>
          </w:p>
        </w:tc>
      </w:tr>
      <w:tr>
        <w:trPr>
          <w:trHeight w:val="60" w:hRule="atLeast"/>
        </w:trPr>
        <w:tc>
          <w:tcPr>
            <w:tcW w:w="499" w:type="dxa"/>
            <w:shd w:val="clear" w:color="FFFFFF" w:fill="auto"/>
            <w:textDirection w:val="lrTb"/>
            <w:vAlign w:val="top"/>
          </w:tcPr>
          <w:p>
            <w:pPr>
              <w:wordWrap w:val="1"/>
              <w:jc w:val="both"/>
              <w:rPr>
                <w:rFonts w:ascii="Arial" w:hAnsi="Arial"/>
                <w:sz w:val="18"/>
                <w:szCs w:val="18"/>
              </w:rPr>
            </w:pPr>
            <w:r>
              <w:rPr>
                <w:rFonts w:ascii="Arial" w:hAnsi="Arial"/>
                <w:sz w:val="18"/>
                <w:szCs w:val="18"/>
              </w:rPr>
              <w:t>21. </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Передача Абонентами показаний приборов учета организации, осуществляющей горячее водоснабжение, производится любыми доступными способами (почтовым отправлением, телеграммой, факсограммой, телефонограммой или с использованием информационно-телекоммуникационной сети "Интернет"), позволяющими подтвердить получение показаний приборов учета организацией, осуществляющей горячее водоснабжение.</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left"/>
              <w:rPr>
                <w:rFonts w:ascii="Arial" w:hAnsi="Arial"/>
                <w:b/>
                <w:sz w:val="18"/>
                <w:szCs w:val="18"/>
              </w:rPr>
            </w:pPr>
            <w:r>
              <w:rPr>
                <w:rFonts w:ascii="Arial" w:hAnsi="Arial"/>
                <w:b/>
                <w:sz w:val="18"/>
                <w:szCs w:val="18"/>
              </w:rPr>
              <w:t>VI.          ПОРЯДОК ОБЕСПЕЧЕНИЯ ГОСУДАРСТВЕННЫМ ЗАКАЗЧИКОМ ДОСТУПА ОРГАНИЗАЦИИ, ОСУЩЕСТВЛЯЮЩЕЙ ГОРЯЧЕЕ ВОДОСНАБЖЕНИЕ, К СЕТЯМ ГОРЯЧЕГО ВОДОСНАБЖЕНИЯ, МЕСТАМ ОТБОРА ПРОБ ГОРЯЧЕЙ ВОДЫ И ПРИБОРАМ УЧЕТА (УЗЛАМ УЧЕТА)</w:t>
            </w:r>
          </w:p>
        </w:tc>
      </w:tr>
      <w:tr>
        <w:trPr>
          <w:trHeight w:val="60" w:hRule="atLeast"/>
        </w:trPr>
        <w:tc>
          <w:tcPr>
            <w:tcW w:w="499" w:type="dxa"/>
            <w:shd w:val="clear" w:color="FFFFFF" w:fill="auto"/>
            <w:textDirection w:val="lrTb"/>
            <w:vAlign w:val="top"/>
          </w:tcPr>
          <w:p>
            <w:pPr>
              <w:wordWrap w:val="1"/>
              <w:jc w:val="both"/>
              <w:rPr>
                <w:rFonts w:ascii="Arial" w:hAnsi="Arial"/>
                <w:sz w:val="18"/>
                <w:szCs w:val="18"/>
              </w:rPr>
            </w:pPr>
            <w:r>
              <w:rPr>
                <w:rFonts w:ascii="Arial" w:hAnsi="Arial"/>
                <w:sz w:val="18"/>
                <w:szCs w:val="18"/>
              </w:rPr>
              <w:t>22. </w:t>
            </w:r>
          </w:p>
        </w:tc>
        <w:tc>
          <w:tcPr>
            <w:tcW w:w="9372" w:type="dxa"/>
            <w:gridSpan w:val="9"/>
            <w:shd w:val="clear" w:color="FFFFFF" w:fill="auto"/>
            <w:textDirection w:val="lrTb"/>
            <w:vAlign w:val="top"/>
          </w:tcPr>
          <w:p>
            <w:pPr>
              <w:wordWrap w:val="1"/>
              <w:jc w:val="both"/>
              <w:rPr>
                <w:rFonts w:ascii="Arial" w:hAnsi="Arial"/>
                <w:sz w:val="18"/>
                <w:szCs w:val="18"/>
              </w:rPr>
            </w:pPr>
            <w:r>
              <w:rPr>
                <w:rFonts w:ascii="Arial" w:hAnsi="Arial"/>
                <w:sz w:val="18"/>
                <w:szCs w:val="18"/>
              </w:rPr>
              <w:t>Абонент обязан обеспечить доступ представителям организации, осуществляющей горячее водоснабжение, или по ее указанию представителям иной организации к сетям горячего водоснабжения, приборам учета (узлам учета), местам отбора проб горячей воды, находящимся в границах ее эксплуатационной ответственности, в целях:</w:t>
            </w:r>
          </w:p>
        </w:tc>
      </w:tr>
      <w:tr>
        <w:trPr>
          <w:trHeight w:val="60" w:hRule="atLeast"/>
        </w:trPr>
        <w:tc>
          <w:tcPr>
            <w:tcW w:w="499" w:type="dxa"/>
            <w:shd w:val="clear" w:color="FFFFFF" w:fill="auto"/>
            <w:textDirection w:val="lrTb"/>
            <w:vAlign w:val="top"/>
          </w:tcPr>
          <w:p>
            <w:pPr>
              <w:wordWrap w:val="1"/>
              <w:jc w:val="both"/>
              <w:rPr>
                <w:rFonts w:ascii="Arial" w:hAnsi="Arial"/>
                <w:sz w:val="18"/>
                <w:szCs w:val="18"/>
              </w:rPr>
            </w:pPr>
          </w:p>
        </w:tc>
        <w:tc>
          <w:tcPr>
            <w:tcW w:w="9372" w:type="dxa"/>
            <w:gridSpan w:val="9"/>
            <w:shd w:val="clear" w:color="FFFFFF" w:fill="auto"/>
            <w:textDirection w:val="lrTb"/>
            <w:vAlign w:val="top"/>
          </w:tcPr>
          <w:p>
            <w:pPr>
              <w:wordWrap w:val="1"/>
              <w:jc w:val="both"/>
              <w:rPr>
                <w:rFonts w:ascii="Arial" w:hAnsi="Arial"/>
                <w:sz w:val="18"/>
                <w:szCs w:val="18"/>
              </w:rPr>
            </w:pPr>
            <w:r>
              <w:rPr>
                <w:rFonts w:ascii="Arial" w:hAnsi="Arial"/>
                <w:sz w:val="18"/>
                <w:szCs w:val="18"/>
              </w:rPr>
              <w:t>а) проверки исправности приборов учета (узлов учета), сохранности контрольных пломб и снятия показаний приборов учета и контроля за снятыми Абонентами показаниями приборов учета;</w:t>
            </w:r>
          </w:p>
        </w:tc>
      </w:tr>
      <w:tr>
        <w:trPr>
          <w:trHeight w:val="60" w:hRule="atLeast"/>
        </w:trPr>
        <w:tc>
          <w:tcPr>
            <w:tcW w:w="499" w:type="dxa"/>
            <w:shd w:val="clear" w:color="FFFFFF" w:fill="auto"/>
            <w:textDirection w:val="lrTb"/>
            <w:vAlign w:val="top"/>
          </w:tcPr>
          <w:p>
            <w:pPr>
              <w:wordWrap w:val="1"/>
              <w:jc w:val="both"/>
              <w:rPr>
                <w:rFonts w:ascii="Arial" w:hAnsi="Arial"/>
                <w:sz w:val="18"/>
                <w:szCs w:val="18"/>
              </w:rPr>
            </w:pPr>
          </w:p>
        </w:tc>
        <w:tc>
          <w:tcPr>
            <w:tcW w:w="9372" w:type="dxa"/>
            <w:gridSpan w:val="9"/>
            <w:shd w:val="clear" w:color="FFFFFF" w:fill="auto"/>
            <w:textDirection w:val="lrTb"/>
            <w:vAlign w:val="top"/>
          </w:tcPr>
          <w:p>
            <w:pPr>
              <w:wordWrap w:val="1"/>
              <w:jc w:val="both"/>
              <w:rPr>
                <w:rFonts w:ascii="Arial" w:hAnsi="Arial"/>
                <w:sz w:val="18"/>
                <w:szCs w:val="18"/>
              </w:rPr>
            </w:pPr>
            <w:r>
              <w:rPr>
                <w:rFonts w:ascii="Arial" w:hAnsi="Arial"/>
                <w:sz w:val="18"/>
                <w:szCs w:val="18"/>
              </w:rPr>
              <w:t>б) опломбирования приборов учета (узлов учета);</w:t>
            </w:r>
          </w:p>
        </w:tc>
      </w:tr>
      <w:tr>
        <w:trPr>
          <w:trHeight w:val="60" w:hRule="atLeast"/>
        </w:trPr>
        <w:tc>
          <w:tcPr>
            <w:tcW w:w="499" w:type="dxa"/>
            <w:shd w:val="clear" w:color="FFFFFF" w:fill="auto"/>
            <w:textDirection w:val="lrTb"/>
            <w:vAlign w:val="top"/>
          </w:tcPr>
          <w:p>
            <w:pPr>
              <w:wordWrap w:val="1"/>
              <w:jc w:val="both"/>
              <w:rPr>
                <w:rFonts w:ascii="Arial" w:hAnsi="Arial"/>
                <w:sz w:val="18"/>
                <w:szCs w:val="18"/>
              </w:rPr>
            </w:pPr>
          </w:p>
        </w:tc>
        <w:tc>
          <w:tcPr>
            <w:tcW w:w="9372" w:type="dxa"/>
            <w:gridSpan w:val="9"/>
            <w:shd w:val="clear" w:color="FFFFFF" w:fill="auto"/>
            <w:textDirection w:val="lrTb"/>
            <w:vAlign w:val="top"/>
          </w:tcPr>
          <w:p>
            <w:pPr>
              <w:wordWrap w:val="1"/>
              <w:jc w:val="both"/>
              <w:rPr>
                <w:rFonts w:ascii="Arial" w:hAnsi="Arial"/>
                <w:sz w:val="18"/>
                <w:szCs w:val="18"/>
              </w:rPr>
            </w:pPr>
            <w:r>
              <w:rPr>
                <w:rFonts w:ascii="Arial" w:hAnsi="Arial"/>
                <w:sz w:val="18"/>
                <w:szCs w:val="18"/>
              </w:rPr>
              <w:t>в) определения качества поданной (полученной) горячей воды путем отбора проб;</w:t>
            </w:r>
          </w:p>
        </w:tc>
      </w:tr>
      <w:tr>
        <w:trPr>
          <w:trHeight w:val="60" w:hRule="atLeast"/>
        </w:trPr>
        <w:tc>
          <w:tcPr>
            <w:tcW w:w="499" w:type="dxa"/>
            <w:shd w:val="clear" w:color="FFFFFF" w:fill="auto"/>
            <w:textDirection w:val="lrTb"/>
            <w:vAlign w:val="top"/>
          </w:tcPr>
          <w:p>
            <w:pPr>
              <w:wordWrap w:val="1"/>
              <w:jc w:val="both"/>
              <w:rPr>
                <w:rFonts w:ascii="Arial" w:hAnsi="Arial"/>
                <w:sz w:val="18"/>
                <w:szCs w:val="18"/>
              </w:rPr>
            </w:pPr>
          </w:p>
        </w:tc>
        <w:tc>
          <w:tcPr>
            <w:tcW w:w="9372" w:type="dxa"/>
            <w:gridSpan w:val="9"/>
            <w:shd w:val="clear" w:color="FFFFFF" w:fill="auto"/>
            <w:textDirection w:val="lrTb"/>
            <w:vAlign w:val="top"/>
          </w:tcPr>
          <w:p>
            <w:pPr>
              <w:wordWrap w:val="1"/>
              <w:jc w:val="both"/>
              <w:rPr>
                <w:rFonts w:ascii="Arial" w:hAnsi="Arial"/>
                <w:sz w:val="18"/>
                <w:szCs w:val="18"/>
              </w:rPr>
            </w:pPr>
            <w:r>
              <w:rPr>
                <w:rFonts w:ascii="Arial" w:hAnsi="Arial"/>
                <w:sz w:val="18"/>
                <w:szCs w:val="18"/>
              </w:rPr>
              <w:t>г) обслуживания сетей горячего водоснабжения и оборудования, находящихся на границе эксплуатационной ответственности организации, осуществляющей горячее водоснабжение.</w:t>
            </w:r>
          </w:p>
        </w:tc>
      </w:tr>
      <w:tr>
        <w:trPr>
          <w:trHeight w:val="60" w:hRule="atLeast"/>
        </w:trPr>
        <w:tc>
          <w:tcPr>
            <w:tcW w:w="499" w:type="dxa"/>
            <w:shd w:val="clear" w:color="FFFFFF" w:fill="auto"/>
            <w:textDirection w:val="lrTb"/>
            <w:vAlign w:val="top"/>
          </w:tcPr>
          <w:p>
            <w:pPr>
              <w:wordWrap w:val="1"/>
              <w:jc w:val="both"/>
              <w:rPr>
                <w:rFonts w:ascii="Arial" w:hAnsi="Arial"/>
                <w:sz w:val="18"/>
                <w:szCs w:val="18"/>
              </w:rPr>
            </w:pPr>
            <w:r>
              <w:rPr>
                <w:rFonts w:ascii="Arial" w:hAnsi="Arial"/>
                <w:sz w:val="18"/>
                <w:szCs w:val="18"/>
              </w:rPr>
              <w:t>23. </w:t>
            </w:r>
          </w:p>
        </w:tc>
        <w:tc>
          <w:tcPr>
            <w:tcW w:w="9372" w:type="dxa"/>
            <w:gridSpan w:val="9"/>
            <w:shd w:val="clear" w:color="FFFFFF" w:fill="auto"/>
            <w:textDirection w:val="lrTb"/>
            <w:vAlign w:val="top"/>
          </w:tcPr>
          <w:p>
            <w:pPr>
              <w:wordWrap w:val="1"/>
              <w:jc w:val="both"/>
              <w:rPr>
                <w:rFonts w:ascii="Arial" w:hAnsi="Arial"/>
                <w:sz w:val="18"/>
                <w:szCs w:val="18"/>
              </w:rPr>
            </w:pPr>
            <w:r>
              <w:rPr>
                <w:rFonts w:ascii="Arial" w:hAnsi="Arial"/>
                <w:sz w:val="18"/>
                <w:szCs w:val="18"/>
              </w:rPr>
              <w:t>Абонент извещается о проведении проверки приборов учета (узлов учета), сохранности контрольных пломб, снятия показаний, контроля за снятыми Абонентами показаниями, определения качества поданной (полученной) горячей воды в порядке, установленном законодательством Российской Федерации.</w:t>
            </w:r>
          </w:p>
        </w:tc>
      </w:tr>
      <w:tr>
        <w:trPr>
          <w:trHeight w:val="60" w:hRule="atLeast"/>
        </w:trPr>
        <w:tc>
          <w:tcPr>
            <w:tcW w:w="499" w:type="dxa"/>
            <w:shd w:val="clear" w:color="FFFFFF" w:fill="auto"/>
            <w:textDirection w:val="lrTb"/>
            <w:vAlign w:val="top"/>
          </w:tcPr>
          <w:p>
            <w:pPr>
              <w:wordWrap w:val="1"/>
              <w:jc w:val="both"/>
              <w:rPr>
                <w:rFonts w:ascii="Arial" w:hAnsi="Arial"/>
                <w:sz w:val="18"/>
                <w:szCs w:val="18"/>
              </w:rPr>
            </w:pPr>
            <w:r>
              <w:rPr>
                <w:rFonts w:ascii="Arial" w:hAnsi="Arial"/>
                <w:sz w:val="18"/>
                <w:szCs w:val="18"/>
              </w:rPr>
              <w:t>24. </w:t>
            </w:r>
          </w:p>
        </w:tc>
        <w:tc>
          <w:tcPr>
            <w:tcW w:w="9372" w:type="dxa"/>
            <w:gridSpan w:val="9"/>
            <w:shd w:val="clear" w:color="FFFFFF" w:fill="auto"/>
            <w:textDirection w:val="lrTb"/>
            <w:vAlign w:val="top"/>
          </w:tcPr>
          <w:p>
            <w:pPr>
              <w:wordWrap w:val="1"/>
              <w:jc w:val="both"/>
              <w:rPr>
                <w:rFonts w:ascii="Arial" w:hAnsi="Arial"/>
                <w:sz w:val="18"/>
                <w:szCs w:val="18"/>
              </w:rPr>
            </w:pPr>
            <w:r>
              <w:rPr>
                <w:rFonts w:ascii="Arial" w:hAnsi="Arial"/>
                <w:sz w:val="18"/>
                <w:szCs w:val="18"/>
              </w:rPr>
              <w:t>Уполномоченные представители организации, осуществляющей горячее водоснабжение, или представители иной организации допускаются к сетям горячего водоснабжения, приборам учета (узлам учета), местам отбора проб при наличии служебного удостоверения (доверенности).</w:t>
            </w:r>
          </w:p>
        </w:tc>
      </w:tr>
      <w:tr>
        <w:trPr>
          <w:trHeight w:val="60" w:hRule="atLeast"/>
        </w:trPr>
        <w:tc>
          <w:tcPr>
            <w:tcW w:w="499" w:type="dxa"/>
            <w:shd w:val="clear" w:color="FFFFFF" w:fill="auto"/>
            <w:textDirection w:val="lrTb"/>
            <w:vAlign w:val="top"/>
          </w:tcPr>
          <w:p>
            <w:pPr>
              <w:wordWrap w:val="1"/>
              <w:jc w:val="both"/>
              <w:rPr>
                <w:rFonts w:ascii="Arial" w:hAnsi="Arial"/>
                <w:sz w:val="18"/>
                <w:szCs w:val="18"/>
              </w:rPr>
            </w:pPr>
            <w:r>
              <w:rPr>
                <w:rFonts w:ascii="Arial" w:hAnsi="Arial"/>
                <w:sz w:val="18"/>
                <w:szCs w:val="18"/>
              </w:rPr>
              <w:t>25. </w:t>
            </w:r>
          </w:p>
        </w:tc>
        <w:tc>
          <w:tcPr>
            <w:tcW w:w="9372" w:type="dxa"/>
            <w:gridSpan w:val="9"/>
            <w:shd w:val="clear" w:color="FFFFFF" w:fill="auto"/>
            <w:textDirection w:val="lrTb"/>
            <w:vAlign w:val="top"/>
          </w:tcPr>
          <w:p>
            <w:pPr>
              <w:wordWrap w:val="1"/>
              <w:jc w:val="both"/>
              <w:rPr>
                <w:rFonts w:ascii="Arial" w:hAnsi="Arial"/>
                <w:sz w:val="18"/>
                <w:szCs w:val="18"/>
              </w:rPr>
            </w:pPr>
            <w:r>
              <w:rPr>
                <w:rFonts w:ascii="Arial" w:hAnsi="Arial"/>
                <w:sz w:val="18"/>
                <w:szCs w:val="18"/>
              </w:rPr>
              <w:t>В случае отказа в допуске организации, осуществляющей горячее водоснабжение, или представителей иной организации к приборам учета (узлам учета) такие приборы учета (узлы учета) признаются неисправными. В таком случае применяется расчетный метод определения количества поданной (полученной) горячей воды за расчетный период.</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left"/>
              <w:rPr>
                <w:rFonts w:ascii="Arial" w:hAnsi="Arial"/>
                <w:b/>
                <w:sz w:val="18"/>
                <w:szCs w:val="18"/>
              </w:rPr>
            </w:pPr>
            <w:r>
              <w:rPr>
                <w:rFonts w:ascii="Arial" w:hAnsi="Arial"/>
                <w:b/>
                <w:sz w:val="18"/>
                <w:szCs w:val="18"/>
              </w:rPr>
              <w:t>VII.          ПОРЯДОК КОНТРОЛЯ КАЧЕСТВА ГОРЯЧЕЙ ВОДЫ</w:t>
            </w:r>
          </w:p>
        </w:tc>
      </w:tr>
      <w:tr>
        <w:trPr>
          <w:trHeight w:val="60" w:hRule="atLeast"/>
        </w:trPr>
        <w:tc>
          <w:tcPr>
            <w:tcW w:w="499" w:type="dxa"/>
            <w:shd w:val="clear" w:color="FFFFFF" w:fill="auto"/>
            <w:textDirection w:val="lrTb"/>
            <w:vAlign w:val="top"/>
          </w:tcPr>
          <w:p>
            <w:pPr>
              <w:wordWrap w:val="1"/>
              <w:jc w:val="both"/>
              <w:rPr>
                <w:rFonts w:ascii="Arial" w:hAnsi="Arial"/>
                <w:sz w:val="18"/>
                <w:szCs w:val="18"/>
              </w:rPr>
            </w:pPr>
            <w:r>
              <w:rPr>
                <w:rFonts w:ascii="Arial" w:hAnsi="Arial"/>
                <w:sz w:val="18"/>
                <w:szCs w:val="18"/>
              </w:rPr>
              <w:t>26. </w:t>
            </w:r>
          </w:p>
        </w:tc>
        <w:tc>
          <w:tcPr>
            <w:tcW w:w="9372" w:type="dxa"/>
            <w:gridSpan w:val="9"/>
            <w:shd w:val="clear" w:color="FFFFFF" w:fill="auto"/>
            <w:textDirection w:val="lrTb"/>
            <w:vAlign w:val="top"/>
          </w:tcPr>
          <w:p>
            <w:pPr>
              <w:wordWrap w:val="1"/>
              <w:jc w:val="both"/>
              <w:rPr>
                <w:rFonts w:ascii="Arial" w:hAnsi="Arial"/>
                <w:sz w:val="18"/>
                <w:szCs w:val="18"/>
              </w:rPr>
            </w:pPr>
            <w:r>
              <w:rPr>
                <w:rFonts w:ascii="Arial" w:hAnsi="Arial"/>
                <w:sz w:val="18"/>
                <w:szCs w:val="18"/>
              </w:rPr>
              <w:t>Контроль качества подаваемой горячей воды осуществляется в соответствии с законодательством Российской Федерации в области обеспечения санитарно-эпидемиологического благополучия населения:</w:t>
            </w:r>
          </w:p>
        </w:tc>
      </w:tr>
      <w:tr>
        <w:trPr>
          <w:trHeight w:val="60" w:hRule="atLeast"/>
        </w:trPr>
        <w:tc>
          <w:tcPr>
            <w:tcW w:w="499" w:type="dxa"/>
            <w:shd w:val="clear" w:color="FFFFFF" w:fill="auto"/>
            <w:textDirection w:val="lrTb"/>
            <w:vAlign w:val="top"/>
          </w:tcPr>
          <w:p>
            <w:pPr>
              <w:wordWrap w:val="1"/>
              <w:jc w:val="both"/>
              <w:rPr>
                <w:rFonts w:ascii="Arial" w:hAnsi="Arial"/>
                <w:sz w:val="18"/>
                <w:szCs w:val="18"/>
              </w:rPr>
            </w:pPr>
            <w:r>
              <w:rPr>
                <w:rFonts w:ascii="Arial" w:hAnsi="Arial"/>
                <w:sz w:val="18"/>
                <w:szCs w:val="18"/>
              </w:rPr>
              <w:t>а) </w:t>
            </w:r>
          </w:p>
        </w:tc>
        <w:tc>
          <w:tcPr>
            <w:tcW w:w="9372" w:type="dxa"/>
            <w:gridSpan w:val="9"/>
            <w:shd w:val="clear" w:color="FFFFFF" w:fill="auto"/>
            <w:textDirection w:val="lrTb"/>
            <w:vAlign w:val="top"/>
          </w:tcPr>
          <w:p>
            <w:pPr>
              <w:wordWrap w:val="1"/>
              <w:jc w:val="both"/>
              <w:rPr>
                <w:rFonts w:ascii="Arial" w:hAnsi="Arial"/>
                <w:sz w:val="18"/>
                <w:szCs w:val="18"/>
              </w:rPr>
            </w:pPr>
            <w:r>
              <w:rPr>
                <w:rFonts w:ascii="Arial" w:hAnsi="Arial"/>
                <w:sz w:val="18"/>
                <w:szCs w:val="18"/>
              </w:rPr>
              <w:t>по инициативе и за счет Абонента;</w:t>
            </w:r>
          </w:p>
        </w:tc>
      </w:tr>
      <w:tr>
        <w:trPr>
          <w:trHeight w:val="60" w:hRule="atLeast"/>
        </w:trPr>
        <w:tc>
          <w:tcPr>
            <w:tcW w:w="499" w:type="dxa"/>
            <w:shd w:val="clear" w:color="FFFFFF" w:fill="auto"/>
            <w:textDirection w:val="lrTb"/>
            <w:vAlign w:val="top"/>
          </w:tcPr>
          <w:p>
            <w:pPr>
              <w:wordWrap w:val="1"/>
              <w:jc w:val="both"/>
              <w:rPr>
                <w:rFonts w:ascii="Arial" w:hAnsi="Arial"/>
                <w:sz w:val="18"/>
                <w:szCs w:val="18"/>
              </w:rPr>
            </w:pPr>
            <w:r>
              <w:rPr>
                <w:rFonts w:ascii="Arial" w:hAnsi="Arial"/>
                <w:sz w:val="18"/>
                <w:szCs w:val="18"/>
              </w:rPr>
              <w:t>б) </w:t>
            </w:r>
          </w:p>
        </w:tc>
        <w:tc>
          <w:tcPr>
            <w:tcW w:w="9372" w:type="dxa"/>
            <w:gridSpan w:val="9"/>
            <w:shd w:val="clear" w:color="FFFFFF" w:fill="auto"/>
            <w:textDirection w:val="lrTb"/>
            <w:vAlign w:val="top"/>
          </w:tcPr>
          <w:p>
            <w:pPr>
              <w:wordWrap w:val="1"/>
              <w:jc w:val="both"/>
              <w:rPr>
                <w:rFonts w:ascii="Arial" w:hAnsi="Arial"/>
                <w:sz w:val="18"/>
                <w:szCs w:val="18"/>
              </w:rPr>
            </w:pPr>
            <w:r>
              <w:rPr>
                <w:rFonts w:ascii="Arial" w:hAnsi="Arial"/>
                <w:sz w:val="18"/>
                <w:szCs w:val="18"/>
              </w:rPr>
              <w:t>на основании программы производственного контроля качества горячей воды организации, осуществляющей горячее водоснабжение;</w:t>
            </w:r>
          </w:p>
        </w:tc>
      </w:tr>
      <w:tr>
        <w:trPr>
          <w:trHeight w:val="60" w:hRule="atLeast"/>
        </w:trPr>
        <w:tc>
          <w:tcPr>
            <w:tcW w:w="499" w:type="dxa"/>
            <w:shd w:val="clear" w:color="FFFFFF" w:fill="auto"/>
            <w:textDirection w:val="lrTb"/>
            <w:vAlign w:val="top"/>
          </w:tcPr>
          <w:p>
            <w:pPr>
              <w:wordWrap w:val="1"/>
              <w:jc w:val="both"/>
              <w:rPr>
                <w:rFonts w:ascii="Arial" w:hAnsi="Arial"/>
                <w:sz w:val="18"/>
                <w:szCs w:val="18"/>
              </w:rPr>
            </w:pPr>
            <w:r>
              <w:rPr>
                <w:rFonts w:ascii="Arial" w:hAnsi="Arial"/>
                <w:sz w:val="18"/>
                <w:szCs w:val="18"/>
              </w:rPr>
              <w:t>в) </w:t>
            </w:r>
          </w:p>
        </w:tc>
        <w:tc>
          <w:tcPr>
            <w:tcW w:w="9372" w:type="dxa"/>
            <w:gridSpan w:val="9"/>
            <w:shd w:val="clear" w:color="FFFFFF" w:fill="auto"/>
            <w:textDirection w:val="lrTb"/>
            <w:vAlign w:val="top"/>
          </w:tcPr>
          <w:p>
            <w:pPr>
              <w:wordWrap w:val="1"/>
              <w:jc w:val="both"/>
              <w:rPr>
                <w:rFonts w:ascii="Arial" w:hAnsi="Arial"/>
                <w:sz w:val="18"/>
                <w:szCs w:val="18"/>
              </w:rPr>
            </w:pPr>
            <w:r>
              <w:rPr>
                <w:rFonts w:ascii="Arial" w:hAnsi="Arial"/>
                <w:sz w:val="18"/>
                <w:szCs w:val="18"/>
              </w:rPr>
              <w:t>при осуществлении федерального государственного санитарно-эпидемиологического контроля уполномоченным территориальным органом федерального органа исполнительной власти.</w:t>
            </w:r>
          </w:p>
        </w:tc>
      </w:tr>
      <w:tr>
        <w:trPr>
          <w:trHeight w:val="60" w:hRule="atLeast"/>
        </w:trPr>
        <w:tc>
          <w:tcPr>
            <w:tcW w:w="499" w:type="dxa"/>
            <w:shd w:val="clear" w:color="FFFFFF" w:fill="auto"/>
            <w:textDirection w:val="lrTb"/>
            <w:vAlign w:val="top"/>
          </w:tcPr>
          <w:p>
            <w:pPr>
              <w:wordWrap w:val="1"/>
              <w:jc w:val="both"/>
              <w:rPr>
                <w:rFonts w:ascii="Arial" w:hAnsi="Arial"/>
                <w:sz w:val="18"/>
                <w:szCs w:val="18"/>
              </w:rPr>
            </w:pPr>
            <w:r>
              <w:rPr>
                <w:rFonts w:ascii="Arial" w:hAnsi="Arial"/>
                <w:sz w:val="18"/>
                <w:szCs w:val="18"/>
              </w:rPr>
              <w:t>27. </w:t>
            </w:r>
          </w:p>
        </w:tc>
        <w:tc>
          <w:tcPr>
            <w:tcW w:w="9372" w:type="dxa"/>
            <w:gridSpan w:val="9"/>
            <w:shd w:val="clear" w:color="FFFFFF" w:fill="auto"/>
            <w:textDirection w:val="lrTb"/>
            <w:vAlign w:val="top"/>
          </w:tcPr>
          <w:p>
            <w:pPr>
              <w:wordWrap w:val="1"/>
              <w:jc w:val="both"/>
              <w:rPr>
                <w:rFonts w:ascii="Arial" w:hAnsi="Arial"/>
                <w:sz w:val="18"/>
                <w:szCs w:val="18"/>
              </w:rPr>
            </w:pPr>
            <w:r>
              <w:rPr>
                <w:rFonts w:ascii="Arial" w:hAnsi="Arial"/>
                <w:sz w:val="18"/>
                <w:szCs w:val="18"/>
              </w:rPr>
              <w:t>Сведения о показателях качества горячей воды и допустимых перерывах в подаче горячей воды предусмотрены Приложением №5.</w:t>
            </w:r>
          </w:p>
        </w:tc>
      </w:tr>
      <w:tr>
        <w:trPr>
          <w:trHeight w:val="60" w:hRule="atLeast"/>
        </w:trPr>
        <w:tc>
          <w:tcPr>
            <w:tcW w:w="499" w:type="dxa"/>
            <w:shd w:val="clear" w:color="FFFFFF" w:fill="auto"/>
            <w:textDirection w:val="lrTb"/>
            <w:vAlign w:val="top"/>
          </w:tcPr>
          <w:p>
            <w:pPr>
              <w:wordWrap w:val="1"/>
              <w:jc w:val="both"/>
              <w:rPr>
                <w:rFonts w:ascii="Arial" w:hAnsi="Arial"/>
                <w:sz w:val="18"/>
                <w:szCs w:val="18"/>
              </w:rPr>
            </w:pPr>
            <w:r>
              <w:rPr>
                <w:rFonts w:ascii="Arial" w:hAnsi="Arial"/>
                <w:sz w:val="18"/>
                <w:szCs w:val="18"/>
              </w:rPr>
              <w:t>28. </w:t>
            </w:r>
          </w:p>
        </w:tc>
        <w:tc>
          <w:tcPr>
            <w:tcW w:w="9372" w:type="dxa"/>
            <w:gridSpan w:val="9"/>
            <w:shd w:val="clear" w:color="FFFFFF" w:fill="auto"/>
            <w:textDirection w:val="lrTb"/>
            <w:vAlign w:val="top"/>
          </w:tcPr>
          <w:p>
            <w:pPr>
              <w:wordWrap w:val="1"/>
              <w:jc w:val="both"/>
              <w:rPr>
                <w:rFonts w:ascii="Arial" w:hAnsi="Arial"/>
                <w:sz w:val="18"/>
                <w:szCs w:val="18"/>
              </w:rPr>
            </w:pPr>
            <w:r>
              <w:rPr>
                <w:rFonts w:ascii="Arial" w:hAnsi="Arial"/>
                <w:sz w:val="18"/>
                <w:szCs w:val="18"/>
              </w:rPr>
              <w:t>Контроль качества горячей воды, подаваемой Абоненту с использованием систем горячего водоснабжения, включает в себя отбор проб воды, проведение лабораторных исследований и испытаний на соответствие горячей воды установленным требованиям.</w:t>
            </w:r>
          </w:p>
        </w:tc>
      </w:tr>
      <w:tr>
        <w:trPr>
          <w:trHeight w:val="60" w:hRule="atLeast"/>
        </w:trPr>
        <w:tc>
          <w:tcPr>
            <w:tcW w:w="499" w:type="dxa"/>
            <w:shd w:val="clear" w:color="FFFFFF" w:fill="auto"/>
            <w:textDirection w:val="lrTb"/>
            <w:vAlign w:val="top"/>
          </w:tcPr>
          <w:p>
            <w:pPr>
              <w:wordWrap w:val="1"/>
              <w:jc w:val="both"/>
              <w:rPr>
                <w:rFonts w:ascii="Arial" w:hAnsi="Arial"/>
                <w:sz w:val="18"/>
                <w:szCs w:val="18"/>
              </w:rPr>
            </w:pPr>
            <w:r>
              <w:rPr>
                <w:rFonts w:ascii="Arial" w:hAnsi="Arial"/>
                <w:sz w:val="18"/>
                <w:szCs w:val="18"/>
              </w:rPr>
              <w:t>29. </w:t>
            </w:r>
          </w:p>
        </w:tc>
        <w:tc>
          <w:tcPr>
            <w:tcW w:w="9372" w:type="dxa"/>
            <w:gridSpan w:val="9"/>
            <w:shd w:val="clear" w:color="FFFFFF" w:fill="auto"/>
            <w:textDirection w:val="lrTb"/>
            <w:vAlign w:val="top"/>
          </w:tcPr>
          <w:p>
            <w:pPr>
              <w:wordWrap w:val="1"/>
              <w:jc w:val="both"/>
              <w:rPr>
                <w:rFonts w:ascii="Arial" w:hAnsi="Arial"/>
                <w:sz w:val="18"/>
                <w:szCs w:val="18"/>
              </w:rPr>
            </w:pPr>
            <w:r>
              <w:rPr>
                <w:rFonts w:ascii="Arial" w:hAnsi="Arial"/>
                <w:sz w:val="18"/>
                <w:szCs w:val="18"/>
              </w:rPr>
              <w:t>Отбор проб горячей воды производится с участием представителей организации, осуществляющей горячее водоснабжение, и представителей Абонента в порядке, установленном законодательством Российской Федерации.</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left"/>
              <w:rPr>
                <w:rFonts w:ascii="Arial" w:hAnsi="Arial"/>
                <w:b/>
                <w:sz w:val="18"/>
                <w:szCs w:val="18"/>
              </w:rPr>
            </w:pPr>
            <w:r>
              <w:rPr>
                <w:rFonts w:ascii="Arial" w:hAnsi="Arial"/>
                <w:b/>
                <w:sz w:val="18"/>
                <w:szCs w:val="18"/>
              </w:rPr>
              <w:t>VIII.         УСЛОВИЯ ВРЕМЕННОГО ПРЕКРАЩЕНИЯ ИЛИ ОГРАНИЧЕНИЯ ГОРЯЧЕГО ВОДОСНАБЖЕНИЯ</w:t>
            </w:r>
          </w:p>
        </w:tc>
      </w:tr>
      <w:tr>
        <w:trPr>
          <w:trHeight w:val="60" w:hRule="atLeast"/>
        </w:trPr>
        <w:tc>
          <w:tcPr>
            <w:tcW w:w="499" w:type="dxa"/>
            <w:shd w:val="clear" w:color="FFFFFF" w:fill="auto"/>
            <w:textDirection w:val="lrTb"/>
            <w:vAlign w:val="top"/>
          </w:tcPr>
          <w:p>
            <w:pPr>
              <w:wordWrap w:val="1"/>
              <w:jc w:val="both"/>
              <w:rPr>
                <w:rFonts w:ascii="Arial" w:hAnsi="Arial"/>
                <w:sz w:val="18"/>
                <w:szCs w:val="18"/>
              </w:rPr>
            </w:pPr>
            <w:r>
              <w:rPr>
                <w:rFonts w:ascii="Arial" w:hAnsi="Arial"/>
                <w:sz w:val="18"/>
                <w:szCs w:val="18"/>
              </w:rPr>
              <w:t>30. </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Организация, осуществляющая горячее водоснабжение, вправе временно прекратить или ограничить горячее водоснабжение Абонента в случаях, установленных Федеральным законом "О водоснабжении и водоотведении", и при условии соблюдения порядка временного прекращения или ограничения горячего водоснабжения, установленного Правилами горячего водоснабжения, утвержденными постановлением Правительства Российской Федерации от 29 июля 2013 г. № 642.</w:t>
            </w:r>
          </w:p>
        </w:tc>
      </w:tr>
      <w:tr>
        <w:trPr>
          <w:trHeight w:val="60" w:hRule="atLeast"/>
        </w:trPr>
        <w:tc>
          <w:tcPr>
            <w:tcW w:w="499" w:type="dxa"/>
            <w:shd w:val="clear" w:color="FFFFFF" w:fill="auto"/>
            <w:textDirection w:val="lrTb"/>
            <w:vAlign w:val="top"/>
          </w:tcPr>
          <w:p>
            <w:pPr>
              <w:wordWrap w:val="1"/>
              <w:jc w:val="both"/>
              <w:rPr>
                <w:rFonts w:ascii="Arial" w:hAnsi="Arial"/>
                <w:sz w:val="18"/>
                <w:szCs w:val="18"/>
              </w:rPr>
            </w:pPr>
            <w:r>
              <w:rPr>
                <w:rFonts w:ascii="Arial" w:hAnsi="Arial"/>
                <w:sz w:val="18"/>
                <w:szCs w:val="18"/>
              </w:rPr>
              <w:t>31. </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Организация, осуществляющая горячее водоснабжение, в течение 1 суток со дня временного прекращения или ограничения горячего водоснабжения уведомляет о таком прекращении или ограничении Абонента и орган местного самоуправления, где расположен объект, в отношении которого вводится временное прекращение или ограничение горячего водоснабжения.</w:t>
            </w:r>
          </w:p>
        </w:tc>
      </w:tr>
      <w:tr>
        <w:trPr>
          <w:trHeight w:val="60" w:hRule="atLeast"/>
        </w:trPr>
        <w:tc>
          <w:tcPr>
            <w:tcW w:w="499" w:type="dxa"/>
            <w:shd w:val="clear" w:color="FFFFFF" w:fill="auto"/>
            <w:textDirection w:val="lrTb"/>
            <w:vAlign w:val="top"/>
          </w:tcPr>
          <w:p>
            <w:pPr>
              <w:wordWrap w:val="1"/>
              <w:jc w:val="both"/>
              <w:rPr>
                <w:rFonts w:ascii="Arial" w:hAnsi="Arial"/>
                <w:sz w:val="18"/>
                <w:szCs w:val="18"/>
              </w:rPr>
            </w:pPr>
            <w:r>
              <w:rPr>
                <w:rFonts w:ascii="Arial" w:hAnsi="Arial"/>
                <w:sz w:val="18"/>
                <w:szCs w:val="18"/>
              </w:rPr>
              <w:t>32. </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Уведомление о временном прекращении или ограничении горячего водоснабжения, а также уведомление о снятии такого прекращения или ограничения и возобновлении горячего водоснабжения направляется Абоненту любыми доступными способами (почтовым отправлением, факсограммой, телефонограммой или с использованием информационно-телекоммуникационной сети "Интернет"), позволяющими подтвердить получение такого уведомления Абонентами в соответствии со ст.165.1. ГК РФ..</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left"/>
              <w:rPr>
                <w:rFonts w:ascii="Arial" w:hAnsi="Arial"/>
                <w:b/>
                <w:sz w:val="18"/>
                <w:szCs w:val="18"/>
              </w:rPr>
            </w:pPr>
            <w:r>
              <w:rPr>
                <w:rFonts w:ascii="Arial" w:hAnsi="Arial"/>
                <w:b/>
                <w:sz w:val="18"/>
                <w:szCs w:val="18"/>
              </w:rPr>
              <w:t>IX.          ОТВЕТСТВЕННОСТЬ СТОРОН</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33.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34 В случае нарушения организацией, осуществляющей горячее водоснабжение, требований к качеству горячей воды Абонент вправе потребовать перерасчета размера платы, а также возмещения реального ущерба в соответствии с гражданским законодательством.</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35. Ответственность организации, осуществляющей горячее водоснабжение, за качество подаваемой горячей воды определяется до границы балансовой принадлежности по объектам, в том числе по сетям горячего водоснабжения Абонента и организации, осуществляющей горячее водоснабжение, в соответствии с актом разграничения эксплуатационной ответственности, предусмотренным Приложением №1 к настоящему договору.</w:t>
            </w:r>
          </w:p>
        </w:tc>
      </w:tr>
      <w:tr>
        <w:trPr>
          <w:trHeight w:val="60" w:hRule="atLeast"/>
        </w:trPr>
        <w:tc>
          <w:tcPr>
            <w:tcW w:w="9871"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36. В случае нарушения либо ненадлежащего исполнения Абонентами обязательств по оплате настоящего договора организация, осуществляющая горячее водоснабжение, вправе потребовать от Абонента уплаты пени в размере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c>
          <w:tcPr>
            <w:tcW w:w="9871" w:type="dxa"/>
            <w:gridSpan w:val="10"/>
            <w:shd w:val="clear" w:color="FFFFFF" w:fill="auto"/>
            <w:textDirection w:val="lrTb"/>
            <w:vAlign w:val="top"/>
          </w:tcPr>
          <w:p>
            <w:pPr>
              <w:wordWrap w:val="1"/>
              <w:jc w:val="left"/>
              <w:rPr>
                <w:rFonts w:ascii="Arial" w:hAnsi="Arial"/>
                <w:b/>
                <w:sz w:val="18"/>
                <w:szCs w:val="18"/>
              </w:rPr>
            </w:pPr>
            <w:r>
              <w:rPr>
                <w:rFonts w:ascii="Arial" w:hAnsi="Arial"/>
                <w:b/>
                <w:sz w:val="18"/>
                <w:szCs w:val="18"/>
              </w:rPr>
              <w:t>X.          ПОРЯДОК УРЕГУЛИРОВАНИЯ РАЗНОГЛАСИЙ ПО ДОГОВОРУ, ВОЗНИКАЮЩИХ МЕЖДУ АБОНЕНТОМ И ОРГАНИЗАЦИЕЙ, ОСУЩЕСТВЛЯЮЩЕЙ ГОРЯЧЕЕ ВОДОСНАБЖЕНИЕ</w:t>
            </w:r>
          </w:p>
        </w:tc>
      </w:tr>
      <w:tr>
        <w:trPr>
          <w:trHeight w:val="60" w:hRule="atLeast"/>
        </w:trPr>
        <w:tc>
          <w:tcPr>
            <w:tcW w:w="499" w:type="dxa"/>
            <w:shd w:val="clear" w:color="FFFFFF" w:fill="auto"/>
            <w:textDirection w:val="lrTb"/>
            <w:vAlign w:val="top"/>
          </w:tcPr>
          <w:p>
            <w:pPr>
              <w:wordWrap w:val="1"/>
              <w:jc w:val="both"/>
              <w:rPr>
                <w:rFonts w:ascii="Arial" w:hAnsi="Arial"/>
                <w:sz w:val="18"/>
                <w:szCs w:val="18"/>
              </w:rPr>
            </w:pPr>
            <w:r>
              <w:rPr>
                <w:rFonts w:ascii="Arial" w:hAnsi="Arial"/>
                <w:sz w:val="18"/>
                <w:szCs w:val="18"/>
              </w:rPr>
              <w:t>37. </w:t>
              <w:br/>
              <w:t>
</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Для урегулирования разногласий, связанных с настоящим договором, между Абонентами и организацией, осуществляющей горячее водоснабжение, одна сторона обращается к другой стороне с письменным обращением об урегулировании разногласий с указанием следующих сведений:</w:t>
            </w:r>
          </w:p>
        </w:tc>
      </w:tr>
      <w:tr>
        <w:trPr>
          <w:trHeight w:val="60" w:hRule="atLeast"/>
        </w:trPr>
        <w:tc>
          <w:tcPr>
            <w:tcW w:w="499" w:type="dxa"/>
            <w:shd w:val="clear" w:color="FFFFFF" w:fill="auto"/>
            <w:textDirection w:val="lrTb"/>
            <w:vAlign w:val="top"/>
          </w:tcPr>
          <w:p>
            <w:pPr>
              <w:wordWrap w:val="1"/>
              <w:jc w:val="both"/>
              <w:rPr>
                <w:rFonts w:ascii="Arial" w:hAnsi="Arial"/>
                <w:sz w:val="18"/>
                <w:szCs w:val="18"/>
              </w:rPr>
            </w:pP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а) сведения о заявителе (наименование, местонахождение (адрес));</w:t>
            </w:r>
          </w:p>
        </w:tc>
      </w:tr>
      <w:tr>
        <w:trPr>
          <w:trHeight w:val="60" w:hRule="atLeast"/>
        </w:trPr>
        <w:tc>
          <w:tcPr>
            <w:tcW w:w="499" w:type="dxa"/>
            <w:shd w:val="clear" w:color="FFFFFF" w:fill="auto"/>
            <w:textDirection w:val="lrTb"/>
            <w:vAlign w:val="top"/>
          </w:tcPr>
          <w:p>
            <w:pPr>
              <w:wordWrap w:val="1"/>
              <w:jc w:val="both"/>
              <w:rPr>
                <w:rFonts w:ascii="Arial" w:hAnsi="Arial"/>
                <w:sz w:val="18"/>
                <w:szCs w:val="18"/>
              </w:rPr>
            </w:pP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б) содержание разногласий;</w:t>
            </w:r>
          </w:p>
        </w:tc>
      </w:tr>
      <w:tr>
        <w:trPr>
          <w:trHeight w:val="60" w:hRule="atLeast"/>
        </w:trPr>
        <w:tc>
          <w:tcPr>
            <w:tcW w:w="499" w:type="dxa"/>
            <w:shd w:val="clear" w:color="FFFFFF" w:fill="auto"/>
            <w:textDirection w:val="lrTb"/>
            <w:vAlign w:val="top"/>
          </w:tcPr>
          <w:p>
            <w:pPr>
              <w:wordWrap w:val="1"/>
              <w:jc w:val="both"/>
              <w:rPr>
                <w:rFonts w:ascii="Arial" w:hAnsi="Arial"/>
                <w:sz w:val="18"/>
                <w:szCs w:val="18"/>
              </w:rPr>
            </w:pP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в) сведения об объекте (объектах), в отношении которого возникли разногласия, в том числе его полное наименование, местонахождение и право на объект (объекты), которым обладает Абонент;</w:t>
            </w:r>
          </w:p>
        </w:tc>
      </w:tr>
      <w:tr>
        <w:trPr>
          <w:trHeight w:val="60" w:hRule="atLeast"/>
        </w:trPr>
        <w:tc>
          <w:tcPr>
            <w:tcW w:w="499" w:type="dxa"/>
            <w:shd w:val="clear" w:color="FFFFFF" w:fill="auto"/>
            <w:textDirection w:val="lrTb"/>
            <w:vAlign w:val="top"/>
          </w:tcPr>
          <w:p>
            <w:pPr>
              <w:wordWrap w:val="1"/>
              <w:jc w:val="both"/>
              <w:rPr>
                <w:rFonts w:ascii="Arial" w:hAnsi="Arial"/>
                <w:sz w:val="18"/>
                <w:szCs w:val="18"/>
              </w:rPr>
            </w:pP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г) копия настоящего договора.</w:t>
            </w:r>
          </w:p>
        </w:tc>
      </w:tr>
      <w:tr>
        <w:trPr>
          <w:trHeight w:val="60" w:hRule="atLeast"/>
        </w:trPr>
        <w:tc>
          <w:tcPr>
            <w:tcW w:w="499" w:type="dxa"/>
            <w:shd w:val="clear" w:color="FFFFFF" w:fill="auto"/>
            <w:textDirection w:val="lrTb"/>
            <w:vAlign w:val="top"/>
          </w:tcPr>
          <w:p>
            <w:pPr>
              <w:wordWrap w:val="1"/>
              <w:jc w:val="both"/>
              <w:rPr>
                <w:rFonts w:ascii="Arial" w:hAnsi="Arial"/>
                <w:sz w:val="18"/>
                <w:szCs w:val="18"/>
              </w:rPr>
            </w:pPr>
            <w:r>
              <w:rPr>
                <w:rFonts w:ascii="Arial" w:hAnsi="Arial"/>
                <w:sz w:val="18"/>
                <w:szCs w:val="18"/>
              </w:rPr>
              <w:t>38. </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Сторона, получившая обращение, в течение 5 рабочих дней с даты его поступления обязана его рассмотреть и дать ответ.</w:t>
            </w:r>
          </w:p>
        </w:tc>
      </w:tr>
      <w:tr>
        <w:trPr>
          <w:trHeight w:val="60" w:hRule="atLeast"/>
        </w:trPr>
        <w:tc>
          <w:tcPr>
            <w:tcW w:w="499" w:type="dxa"/>
            <w:shd w:val="clear" w:color="FFFFFF" w:fill="auto"/>
            <w:textDirection w:val="lrTb"/>
            <w:vAlign w:val="top"/>
          </w:tcPr>
          <w:p>
            <w:pPr>
              <w:wordWrap w:val="1"/>
              <w:jc w:val="both"/>
              <w:rPr>
                <w:rFonts w:ascii="Arial" w:hAnsi="Arial"/>
                <w:sz w:val="18"/>
                <w:szCs w:val="18"/>
              </w:rPr>
            </w:pPr>
            <w:r>
              <w:rPr>
                <w:rFonts w:ascii="Arial" w:hAnsi="Arial"/>
                <w:sz w:val="18"/>
                <w:szCs w:val="18"/>
              </w:rPr>
              <w:t>39. </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По результатам ответа, предусмотренного пунктом 38 настоящего договора, стороны составляют акт об урегулировании разногласий.</w:t>
            </w:r>
          </w:p>
        </w:tc>
      </w:tr>
      <w:tr>
        <w:trPr>
          <w:trHeight w:val="60" w:hRule="atLeast"/>
        </w:trPr>
        <w:tc>
          <w:tcPr>
            <w:tcW w:w="499" w:type="dxa"/>
            <w:shd w:val="clear" w:color="FFFFFF" w:fill="auto"/>
            <w:textDirection w:val="lrTb"/>
            <w:vAlign w:val="top"/>
          </w:tcPr>
          <w:p>
            <w:pPr>
              <w:wordWrap w:val="1"/>
              <w:jc w:val="both"/>
              <w:rPr>
                <w:rFonts w:ascii="Arial" w:hAnsi="Arial"/>
                <w:sz w:val="18"/>
                <w:szCs w:val="18"/>
              </w:rPr>
            </w:pPr>
            <w:r>
              <w:rPr>
                <w:rFonts w:ascii="Arial" w:hAnsi="Arial"/>
                <w:sz w:val="18"/>
                <w:szCs w:val="18"/>
              </w:rPr>
              <w:t>40. </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При отсутствии ответа, предусмотренного пунктом 38 настоящего договора, или в случае невозможности урегулировать разногласия спор разрешается Арбитражным судом Республики Саха (Якутия).</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left"/>
              <w:rPr>
                <w:rFonts w:ascii="Arial" w:hAnsi="Arial"/>
                <w:b/>
                <w:sz w:val="18"/>
                <w:szCs w:val="18"/>
              </w:rPr>
            </w:pPr>
            <w:r>
              <w:rPr>
                <w:rFonts w:ascii="Arial" w:hAnsi="Arial"/>
                <w:b/>
                <w:sz w:val="18"/>
                <w:szCs w:val="18"/>
              </w:rPr>
              <w:t>XI.          СРОК ДЕЙСТВИЯ ДОГОВОРА</w:t>
            </w:r>
          </w:p>
        </w:tc>
      </w:tr>
      <w:tr>
        <w:trPr>
          <w:trHeight w:val="60" w:hRule="atLeast"/>
        </w:trPr>
        <w:tc>
          <w:tcPr>
            <w:tcW w:w="499" w:type="dxa"/>
            <w:shd w:val="clear" w:color="FFFFFF" w:fill="auto"/>
            <w:textDirection w:val="lrTb"/>
            <w:vAlign w:val="top"/>
          </w:tcPr>
          <w:p>
            <w:pPr>
              <w:wordWrap w:val="1"/>
              <w:jc w:val="both"/>
              <w:rPr>
                <w:rFonts w:ascii="Arial" w:hAnsi="Arial"/>
                <w:sz w:val="18"/>
                <w:szCs w:val="18"/>
              </w:rPr>
            </w:pPr>
            <w:r>
              <w:rPr>
                <w:rFonts w:ascii="Arial" w:hAnsi="Arial"/>
                <w:sz w:val="18"/>
                <w:szCs w:val="18"/>
              </w:rPr>
              <w:t>41. </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Настоящий договор вступает в силу со дня его подписания сторонами и действует до "31" декабря 2023г., а в части обязательств, не исполненных ко дню окончания срока его действия, - до полного их исполнения сторонами. </w:t>
            </w:r>
          </w:p>
        </w:tc>
      </w:tr>
      <w:tr>
        <w:trPr>
          <w:trHeight w:val="60" w:hRule="atLeast"/>
        </w:trPr>
        <w:tc>
          <w:tcPr>
            <w:tcW w:w="499" w:type="dxa"/>
            <w:shd w:val="clear" w:color="FFFFFF" w:fill="auto"/>
            <w:textDirection w:val="lrTb"/>
            <w:vAlign w:val="top"/>
          </w:tcPr>
          <w:p>
            <w:pPr>
              <w:wordWrap w:val="1"/>
              <w:jc w:val="both"/>
              <w:rPr>
                <w:rFonts w:ascii="Arial" w:hAnsi="Arial"/>
                <w:sz w:val="18"/>
                <w:szCs w:val="18"/>
              </w:rPr>
            </w:pPr>
            <w:r>
              <w:rPr>
                <w:rFonts w:ascii="Arial" w:hAnsi="Arial"/>
                <w:sz w:val="18"/>
                <w:szCs w:val="18"/>
              </w:rPr>
              <w:t>42. </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Настоящий договор считается продленным на тот же срок и на тех же условиях, если за 1 месяц до окончания срока его действия ни одна из сторон не заявит о его прекращении или изменении либо о заключении нового договора на иных условиях.</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left"/>
              <w:rPr>
                <w:rFonts w:ascii="Arial" w:hAnsi="Arial"/>
                <w:b/>
                <w:sz w:val="18"/>
                <w:szCs w:val="18"/>
              </w:rPr>
            </w:pPr>
            <w:r>
              <w:rPr>
                <w:rFonts w:ascii="Arial" w:hAnsi="Arial"/>
                <w:b/>
                <w:sz w:val="18"/>
                <w:szCs w:val="18"/>
              </w:rPr>
              <w:t>XII.          ПРОЧИЕ УСЛОВИЯ</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r>
              <w:rPr>
                <w:rFonts w:ascii="Arial" w:hAnsi="Arial"/>
                <w:sz w:val="18"/>
                <w:szCs w:val="18"/>
              </w:rPr>
              <w:t>43. </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Стороны обязаны в течение 5 рабочих дней сообщить друг другу об изменении своих наименований, местонахождения (адресов) и платежных реквизитов.</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r>
              <w:rPr>
                <w:rFonts w:ascii="Arial" w:hAnsi="Arial"/>
                <w:sz w:val="18"/>
                <w:szCs w:val="18"/>
              </w:rPr>
              <w:t>44. </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При исполнении настоящего договора, а также при решении вопросов, не предусмотренных настоящим договором, стороны обязуются руководствоваться законодательством Российской Федерации.</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r>
              <w:rPr>
                <w:rFonts w:ascii="Arial" w:hAnsi="Arial"/>
                <w:sz w:val="18"/>
                <w:szCs w:val="18"/>
              </w:rPr>
              <w:t>45. </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Любые изменения настоящего договора, а также соглашение о расторжении настоящего договора действительны при условии, что они составлены в письменной форме и подписаны надлежащим образом сторонами.</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r>
              <w:rPr>
                <w:rFonts w:ascii="Arial" w:hAnsi="Arial"/>
                <w:sz w:val="18"/>
                <w:szCs w:val="18"/>
              </w:rPr>
              <w:t>46. </w:t>
            </w:r>
          </w:p>
        </w:tc>
        <w:tc>
          <w:tcPr>
            <w:tcW w:w="9372" w:type="dxa"/>
            <w:gridSpan w:val="9"/>
            <w:shd w:val="clear" w:color="FFFFFF" w:fill="auto"/>
            <w:textDirection w:val="lrTb"/>
            <w:vAlign w:val="bottom"/>
          </w:tcPr>
          <w:p>
            <w:pPr>
              <w:wordWrap w:val="1"/>
              <w:jc w:val="both"/>
              <w:rPr>
                <w:rFonts w:ascii="Arial" w:hAnsi="Arial"/>
                <w:sz w:val="18"/>
                <w:szCs w:val="18"/>
              </w:rPr>
            </w:pPr>
            <w:r>
              <w:rPr>
                <w:rFonts w:ascii="Arial" w:hAnsi="Arial"/>
                <w:sz w:val="18"/>
                <w:szCs w:val="18"/>
              </w:rPr>
              <w:t>Настоящий договор составлен в 2 экземплярах, по 1 экземпляру для каждой стороны.</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9871" w:type="dxa"/>
            <w:gridSpan w:val="10"/>
            <w:shd w:val="clear" w:color="FFFFFF" w:fill="auto"/>
            <w:textDirection w:val="lrTb"/>
            <w:vAlign w:val="bottom"/>
          </w:tcPr>
          <w:p>
            <w:pPr>
              <w:wordWrap w:val="1"/>
              <w:jc w:val="left"/>
              <w:rPr>
                <w:rFonts w:ascii="Arial" w:hAnsi="Arial"/>
                <w:b/>
                <w:sz w:val="18"/>
                <w:szCs w:val="18"/>
              </w:rPr>
            </w:pPr>
            <w:r>
              <w:rPr>
                <w:rFonts w:ascii="Arial" w:hAnsi="Arial"/>
                <w:b/>
                <w:sz w:val="18"/>
                <w:szCs w:val="18"/>
              </w:rPr>
              <w:t>XIII.          АДРЕСА И ПЛАТЕЖНЫЕ РЕКВИЗИТЫ СТОРОН</w:t>
            </w:r>
          </w:p>
        </w:tc>
      </w:tr>
      <w:tr>
        <w:trPr>
          <w:trHeight w:val="60" w:hRule="atLeast"/>
        </w:trPr>
        <w:tc>
          <w:tcPr>
            <w:tcW w:w="4988" w:type="dxa"/>
            <w:gridSpan w:val="5"/>
            <w:tcBorders>
              <w:top w:val="single" w:sz="5" w:space="0" w:color="808080"/>
              <w:left w:val="single" w:sz="5" w:space="0" w:color="808080"/>
            </w:tcBorders>
            <w:shd w:val="clear" w:color="FFFFFF" w:fill="auto"/>
            <w:textDirection w:val="lrTb"/>
            <w:vAlign w:val="top"/>
          </w:tcPr>
          <w:p>
            <w:pPr>
              <w:wordWrap w:val="1"/>
              <w:jc w:val="left"/>
              <w:rPr>
                <w:rFonts w:ascii="Arial" w:hAnsi="Arial"/>
                <w:b/>
                <w:sz w:val="18"/>
                <w:szCs w:val="18"/>
              </w:rPr>
            </w:pPr>
            <w:r>
              <w:rPr>
                <w:rFonts w:ascii="Arial" w:hAnsi="Arial"/>
                <w:b/>
                <w:sz w:val="18"/>
                <w:szCs w:val="18"/>
              </w:rPr>
              <w:t>Организация, осуществляющая горячее водоснабжение:</w:t>
            </w:r>
          </w:p>
        </w:tc>
        <w:tc>
          <w:tcPr>
            <w:tcW w:w="4883" w:type="dxa"/>
            <w:gridSpan w:val="5"/>
            <w:tcBorders>
              <w:top w:val="single" w:sz="5" w:space="0" w:color="808080"/>
              <w:left w:val="single" w:sz="5" w:space="0" w:color="808080"/>
              <w:right w:val="single" w:sz="5" w:space="0" w:color="808080"/>
            </w:tcBorders>
            <w:shd w:val="clear" w:color="FFFFFF" w:fill="auto"/>
            <w:textDirection w:val="lrTb"/>
            <w:vAlign w:val="top"/>
          </w:tcPr>
          <w:p>
            <w:pPr>
              <w:wordWrap w:val="1"/>
              <w:jc w:val="left"/>
              <w:rPr>
                <w:rFonts w:ascii="Arial" w:hAnsi="Arial"/>
                <w:b/>
                <w:sz w:val="18"/>
                <w:szCs w:val="18"/>
              </w:rPr>
            </w:pPr>
            <w:r>
              <w:rPr>
                <w:rFonts w:ascii="Arial" w:hAnsi="Arial"/>
                <w:b/>
                <w:sz w:val="18"/>
                <w:szCs w:val="18"/>
              </w:rPr>
              <w:t>Абонент:</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Акционерное общество "Теплоэнергосервис"</w:t>
            </w:r>
          </w:p>
        </w:tc>
        <w:tc>
          <w:tcPr>
            <w:tcW w:w="4883" w:type="dxa"/>
            <w:gridSpan w:val="5"/>
            <w:tcBorders>
              <w:left w:val="single" w:sz="5" w:space="0" w:color="808080"/>
              <w:righ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Автономная некоммерческая дошкольная образовательная организация "Алмазик"</w:t>
            </w:r>
          </w:p>
        </w:tc>
      </w:tr>
      <w:tr>
        <w:trPr>
          <w:trHeight w:val="60" w:hRule="atLeast"/>
        </w:trPr>
        <w:tc>
          <w:tcPr>
            <w:tcW w:w="4988" w:type="dxa"/>
            <w:gridSpan w:val="5"/>
            <w:tcBorders>
              <w:top w:val="single" w:sz="5" w:space="0" w:color="808080"/>
              <w:lef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ИНН 1435191592 / КПП 143302001</w:t>
            </w:r>
          </w:p>
        </w:tc>
        <w:tc>
          <w:tcPr>
            <w:tcW w:w="4883" w:type="dxa"/>
            <w:gridSpan w:val="5"/>
            <w:tcBorders>
              <w:top w:val="single" w:sz="5" w:space="0" w:color="808080"/>
              <w:left w:val="single" w:sz="5" w:space="0" w:color="808080"/>
              <w:righ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ИНН 1433025906 / КПП 143301001</w:t>
            </w:r>
          </w:p>
        </w:tc>
      </w:tr>
      <w:tr>
        <w:trPr>
          <w:trHeight w:val="60" w:hRule="atLeast"/>
        </w:trPr>
        <w:tc>
          <w:tcPr>
            <w:tcW w:w="4988" w:type="dxa"/>
            <w:gridSpan w:val="5"/>
            <w:tcBorders>
              <w:top w:val="single" w:sz="5" w:space="0" w:color="808080"/>
              <w:lef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Юридический адрес: 677001, Респ Саха /Якутия/, г Якутск, пер Энергетиков, дом № 1-а</w:t>
            </w:r>
          </w:p>
        </w:tc>
        <w:tc>
          <w:tcPr>
            <w:tcW w:w="4883" w:type="dxa"/>
            <w:gridSpan w:val="5"/>
            <w:tcBorders>
              <w:top w:val="single" w:sz="5" w:space="0" w:color="808080"/>
              <w:left w:val="single" w:sz="5" w:space="0" w:color="808080"/>
              <w:righ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Юридический адрес: 678170, Респ Саха /Якутия/, у Мирнинский, г Мирный, ул Ленина, д. 14А</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Фактический адрес: 678185, Респ Саха /Якутия/, у Мирнинский, пгт Чернышевский, кв-л Монтажников</w:t>
            </w:r>
          </w:p>
        </w:tc>
        <w:tc>
          <w:tcPr>
            <w:tcW w:w="4883" w:type="dxa"/>
            <w:gridSpan w:val="5"/>
            <w:tcBorders>
              <w:left w:val="single" w:sz="5" w:space="0" w:color="808080"/>
              <w:righ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Фактический адрес: 678170, Респ Саха /Якутия/, у Мирнинский, г Мирный, ул Ленина, д. 14А</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Факс (Код): </w:t>
            </w:r>
          </w:p>
        </w:tc>
        <w:tc>
          <w:tcPr>
            <w:tcW w:w="4883" w:type="dxa"/>
            <w:gridSpan w:val="5"/>
            <w:tcBorders>
              <w:left w:val="single" w:sz="5" w:space="0" w:color="808080"/>
              <w:righ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Факс (Код): 8(41136)31608</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Тел. (Код): +7 (41136) 73402, доб.  (4112) 49-84-09</w:t>
            </w:r>
          </w:p>
        </w:tc>
        <w:tc>
          <w:tcPr>
            <w:tcW w:w="4883" w:type="dxa"/>
            <w:gridSpan w:val="5"/>
            <w:tcBorders>
              <w:left w:val="single" w:sz="5" w:space="0" w:color="808080"/>
              <w:righ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Тел. (Код): 8(41136)42527</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E-mail: Priem-VF@tes.yakutskenergo.ru</w:t>
            </w:r>
          </w:p>
        </w:tc>
        <w:tc>
          <w:tcPr>
            <w:tcW w:w="4883" w:type="dxa"/>
            <w:gridSpan w:val="5"/>
            <w:tcBorders>
              <w:left w:val="single" w:sz="5" w:space="0" w:color="808080"/>
              <w:righ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E-mail:  almazik@anodo.ru</w:t>
            </w:r>
          </w:p>
        </w:tc>
      </w:tr>
      <w:tr>
        <w:trPr>
          <w:trHeight w:val="60" w:hRule="atLeast"/>
        </w:trPr>
        <w:tc>
          <w:tcPr>
            <w:tcW w:w="4988" w:type="dxa"/>
            <w:gridSpan w:val="5"/>
            <w:tcBorders>
              <w:top w:val="single" w:sz="5" w:space="0" w:color="808080"/>
              <w:lef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Платежные реквизиты:</w:t>
            </w:r>
          </w:p>
        </w:tc>
        <w:tc>
          <w:tcPr>
            <w:tcW w:w="4883" w:type="dxa"/>
            <w:gridSpan w:val="5"/>
            <w:tcBorders>
              <w:top w:val="single" w:sz="5" w:space="0" w:color="808080"/>
              <w:left w:val="single" w:sz="5" w:space="0" w:color="808080"/>
              <w:righ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Платежные реквизиты:</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ЯКУТСКОЕ ОТДЕЛЕНИЕ №8603 ПАО СБЕРБАНК г.Якутск</w:t>
            </w:r>
          </w:p>
        </w:tc>
        <w:tc>
          <w:tcPr>
            <w:tcW w:w="4883" w:type="dxa"/>
            <w:gridSpan w:val="5"/>
            <w:tcBorders>
              <w:left w:val="single" w:sz="5" w:space="0" w:color="808080"/>
              <w:righ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Якутское отделение №8603 Байкальского банка ПАО "СБЕРБАНК" в г.Якутске</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БИК 049805609</w:t>
            </w:r>
          </w:p>
        </w:tc>
        <w:tc>
          <w:tcPr>
            <w:tcW w:w="4883" w:type="dxa"/>
            <w:gridSpan w:val="5"/>
            <w:tcBorders>
              <w:left w:val="single" w:sz="5" w:space="0" w:color="808080"/>
              <w:righ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БИК 049805609</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Корр.счет 30101810400000000609</w:t>
            </w:r>
          </w:p>
        </w:tc>
        <w:tc>
          <w:tcPr>
            <w:tcW w:w="4883" w:type="dxa"/>
            <w:gridSpan w:val="5"/>
            <w:tcBorders>
              <w:left w:val="single" w:sz="5" w:space="0" w:color="808080"/>
              <w:righ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Корр.счет 30101810400000000609</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Расчетный счет 40702810976030100511</w:t>
            </w:r>
          </w:p>
        </w:tc>
        <w:tc>
          <w:tcPr>
            <w:tcW w:w="4883" w:type="dxa"/>
            <w:gridSpan w:val="5"/>
            <w:tcBorders>
              <w:left w:val="single" w:sz="5" w:space="0" w:color="808080"/>
              <w:righ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Расчетный счет 40703810476030000071</w:t>
            </w:r>
          </w:p>
        </w:tc>
      </w:tr>
      <w:tr>
        <w:trPr>
          <w:trHeight w:val="60" w:hRule="atLeast"/>
        </w:trPr>
        <w:tc>
          <w:tcPr>
            <w:tcW w:w="4988" w:type="dxa"/>
            <w:gridSpan w:val="5"/>
            <w:tcBorders>
              <w:top w:val="single" w:sz="5" w:space="0" w:color="808080"/>
              <w:lef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Директор филиала</w:t>
            </w:r>
          </w:p>
        </w:tc>
        <w:tc>
          <w:tcPr>
            <w:tcW w:w="4883" w:type="dxa"/>
            <w:gridSpan w:val="5"/>
            <w:tcBorders>
              <w:top w:val="single" w:sz="5" w:space="0" w:color="808080"/>
              <w:left w:val="single" w:sz="5" w:space="0" w:color="808080"/>
              <w:righ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Исполнительный директор</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left"/>
              <w:rPr>
                <w:rFonts w:ascii="Arial" w:hAnsi="Arial"/>
                <w:sz w:val="18"/>
                <w:szCs w:val="18"/>
              </w:rPr>
            </w:pPr>
          </w:p>
        </w:tc>
        <w:tc>
          <w:tcPr>
            <w:tcW w:w="4883" w:type="dxa"/>
            <w:gridSpan w:val="5"/>
            <w:tcBorders>
              <w:left w:val="single" w:sz="5" w:space="0" w:color="808080"/>
              <w:right w:val="single" w:sz="5" w:space="0" w:color="808080"/>
            </w:tcBorders>
            <w:shd w:val="clear" w:color="FFFFFF" w:fill="auto"/>
            <w:textDirection w:val="lrTb"/>
            <w:vAlign w:val="top"/>
          </w:tcPr>
          <w:p>
            <w:pPr>
              <w:wordWrap w:val="1"/>
              <w:jc w:val="left"/>
              <w:rPr>
                <w:rFonts w:ascii="Arial" w:hAnsi="Arial"/>
                <w:sz w:val="18"/>
                <w:szCs w:val="18"/>
              </w:rPr>
            </w:pP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________________________________</w:t>
            </w:r>
          </w:p>
        </w:tc>
        <w:tc>
          <w:tcPr>
            <w:tcW w:w="4883" w:type="dxa"/>
            <w:gridSpan w:val="5"/>
            <w:tcBorders>
              <w:left w:val="single" w:sz="5" w:space="0" w:color="808080"/>
              <w:righ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__________________________________</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Фаткин А. А.</w:t>
            </w:r>
          </w:p>
        </w:tc>
        <w:tc>
          <w:tcPr>
            <w:tcW w:w="4883" w:type="dxa"/>
            <w:gridSpan w:val="5"/>
            <w:tcBorders>
              <w:left w:val="single" w:sz="5" w:space="0" w:color="808080"/>
              <w:righ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Мироненко А.В.</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По доверенности № 124 от 07.06.2022г Кузнецова Н.В.</w:t>
            </w:r>
          </w:p>
        </w:tc>
        <w:tc>
          <w:tcPr>
            <w:tcW w:w="945" w:type="dxa"/>
            <w:tcBorders>
              <w:left w:val="single" w:sz="5" w:space="0" w:color="808080"/>
              <w:bottom w:val="single" w:sz="5" w:space="0" w:color="808080"/>
            </w:tcBorders>
            <w:shd w:val="clear" w:color="FFFFFF" w:fill="auto"/>
            <w:textDirection w:val="lrTb"/>
            <w:vAlign w:val="top"/>
          </w:tcPr>
          <w:p>
            <w:pPr>
              <w:wordWrap w:val="1"/>
              <w:jc w:val="both"/>
              <w:rPr>
                <w:rFonts w:ascii="Arial" w:hAnsi="Arial"/>
                <w:sz w:val="18"/>
                <w:szCs w:val="18"/>
              </w:rPr>
            </w:pPr>
          </w:p>
        </w:tc>
        <w:tc>
          <w:tcPr>
            <w:tcW w:w="945" w:type="dxa"/>
            <w:shd w:val="clear" w:color="FFFFFF" w:fill="auto"/>
            <w:textDirection w:val="lrTb"/>
            <w:vAlign w:val="top"/>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"___" ____________________ 20___ г.</w:t>
            </w:r>
          </w:p>
        </w:tc>
        <w:tc>
          <w:tcPr>
            <w:tcW w:w="4883" w:type="dxa"/>
            <w:gridSpan w:val="5"/>
            <w:tcBorders>
              <w:left w:val="single" w:sz="5" w:space="0" w:color="808080"/>
              <w:righ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"___" ____________________ 20___ г.</w:t>
            </w:r>
          </w:p>
        </w:tc>
      </w:tr>
      <w:tr>
        <w:trPr>
          <w:trHeight w:val="60" w:hRule="atLeast"/>
        </w:trPr>
        <w:tc>
          <w:tcPr>
            <w:tcW w:w="4988" w:type="dxa"/>
            <w:gridSpan w:val="5"/>
            <w:tcBorders>
              <w:left w:val="single" w:sz="5" w:space="0" w:color="808080"/>
              <w:bottom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 xml:space="preserve">                        М.П.</w:t>
            </w:r>
          </w:p>
        </w:tc>
        <w:tc>
          <w:tcPr>
            <w:tcW w:w="945" w:type="dxa"/>
            <w:tcBorders>
              <w:left w:val="single" w:sz="5" w:space="0" w:color="808080"/>
              <w:bottom w:val="single" w:sz="5" w:space="0" w:color="808080"/>
            </w:tcBorders>
            <w:shd w:val="clear" w:color="FFFFFF" w:fill="auto"/>
            <w:textDirection w:val="lrTb"/>
            <w:vAlign w:val="top"/>
          </w:tcPr>
          <w:p>
            <w:pPr>
              <w:wordWrap w:val="1"/>
              <w:jc w:val="left"/>
              <w:rPr>
                <w:rFonts w:ascii="Arial" w:hAnsi="Arial"/>
                <w:sz w:val="18"/>
                <w:szCs w:val="18"/>
              </w:rPr>
            </w:pPr>
          </w:p>
        </w:tc>
        <w:tc>
          <w:tcPr>
            <w:tcW w:w="3938" w:type="dxa"/>
            <w:gridSpan w:val="4"/>
            <w:tcBorders>
              <w:bottom w:val="single" w:sz="5" w:space="0" w:color="808080"/>
              <w:righ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М.П.</w:t>
            </w: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9" w:type="dxa"/>
            <w:shd w:val="clear" w:color="FFFFFF" w:fill="auto"/>
            <w:textDirection w:val="lrTb"/>
            <w:vAlign w:val="bottom"/>
          </w:tcPr>
          <w:p>
            <w:pPr>
              <w:wordWrap w:val="1"/>
              <w:jc w:val="both"/>
              <w:rPr>
                <w:rFonts w:ascii="Arial" w:hAnsi="Arial"/>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11" w:type="dxa"/>
            <w:shd w:val="clear" w:color="FFFFFF" w:fill="auto"/>
            <w:textDirection w:val="lrTb"/>
            <w:vAlign w:val="bottom"/>
          </w:tcPr>
          <w:p>
            <w:pPr>
              <w:wordWrap w:val="1"/>
              <w:jc w:val="both"/>
              <w:rPr>
                <w:rFonts w:ascii="Arial" w:hAnsi="Arial"/>
                <w:sz w:val="18"/>
                <w:szCs w:val="18"/>
              </w:rPr>
            </w:pPr>
          </w:p>
        </w:tc>
      </w:tr>
    </w:tbl>
    <w:sectPr>
      <w:footerReference w:type="default" r:id="rId9"/>
      <w:footerReference w:type="first" r:id="rId11"/>
      <w:pgSz w:w="11907" w:h="16839" w:orient="portrait"/>
      <w:pgNumType w:start="1"/>
      <w:pgMar w:top="567" w:right="963" w:bottom="850" w:left="963"/>
    </w:sectPr>
  </w:body>
</w:document>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w:sdt>
    <w:sdtPr>
      <w:docPartObj>
        <w:docPartGallery w:val="Page Numbers (Top of Page)"/>
      </w:docPartObj>
    </w:sdtPr>
    <w:sdtContent>
      <w:p>
        <w:pPr>
          <w:pStyle w:val="a4"/>
        </w:pPr>
        <w:r>
          <w:rPr>
            <w:color w:val="000000"/>
            <w:rFonts w:ascii="Arial Narrow" w:hAnsi="Arial Narrow"/>
            <w:sz w:val="18"/>
          </w:rPr>
          <w:t xml:space="preserve">Договор № 00055-Ц</w:t>
        </w:r>
        <w:r>
          <w:tab/>
        </w:r>
        <w:r>
          <w:ptab w:alignment="center" w:relativeTo="margin" w:leader="none"/>
        </w:r>
        <w:r>
          <w:rPr>
            <w:color w:val="000000"/>
            <w:rFonts w:ascii="Arial Narrow" w:hAnsi="Arial Narrow"/>
            <w:sz w:val="18"/>
          </w:rPr>
          <w:t xml:space="preserve">..............................................................................................................................................................................................................................................</w:t>
        </w:r>
        <w:r>
          <w:tab/>
        </w:r>
        <w:r>
          <w:ptab w:alignment="right" w:relativeTo="margin" w:leader="none"/>
        </w:r>
        <w:r>
          <w:rPr>
            <w:color w:val="000000"/>
            <w:rFonts w:ascii="Arial Narrow" w:hAnsi="Arial Narrow"/>
            <w:sz w:val="18"/>
          </w:rPr>
          <w:t xml:space="preserve">Стр. </w:t>
        </w:r>
        <w:r>
          <w:rPr>
            <w:color w:val="000000"/>
            <w:rFonts w:ascii="Arial Narrow" w:hAnsi="Arial Narrow"/>
            <w:sz w:val="18"/>
          </w:rPr>
          <w:r>
            <w:rPr>
              <w:rFonts w:ascii="Arial Narrow" w:hAnsi="Arial Narrow"/>
              <w:sz w:val="18"/>
              <w:fldChar w:fldCharType="begin"/>
            </w:rPr>
          </w:r>
          <w:r>
            <w:rPr>
              <w:rFonts w:ascii="Arial Narrow" w:hAnsi="Arial Narrow"/>
              <w:sz w:val="18"/>
              <w:instrText> PAGE   \* MERGEFORMAT </w:instrText>
            </w:rPr>
          </w:r>
          <w:r>
            <w:rPr>
              <w:rFonts w:ascii="Arial Narrow" w:hAnsi="Arial Narrow"/>
              <w:sz w:val="18"/>
              <w:fldChar w:fldCharType="separate"/>
            </w:rPr>
          </w:r>
          <w:r>
            <w:rPr>
              <w:rFonts w:ascii="Arial Narrow" w:hAnsi="Arial Narrow"/>
              <w:sz w:val="18"/>
              <w:fldChar w:fldCharType="end"/>
            </w:rPr>
          </w:r>
        </w:r>
        <w:r>
          <w:rPr>
            <w:color w:val="000000"/>
            <w:rFonts w:ascii="Arial Narrow" w:hAnsi="Arial Narrow"/>
            <w:sz w:val="18"/>
          </w:rPr>
          <w:t xml:space="preserve"> из </w:t>
        </w:r>
        <w:r>
          <w:rPr>
            <w:color w:val="000000"/>
            <w:rFonts w:ascii="Arial Narrow" w:hAnsi="Arial Narrow"/>
            <w:sz w:val="18"/>
          </w:rPr>
          <w:r>
            <w:rPr>
              <w:rFonts w:ascii="Arial Narrow" w:hAnsi="Arial Narrow"/>
              <w:sz w:val="18"/>
              <w:fldChar w:fldCharType="begin"/>
            </w:rPr>
          </w:r>
          <w:r>
            <w:rPr>
              <w:rFonts w:ascii="Arial Narrow" w:hAnsi="Arial Narrow"/>
              <w:sz w:val="18"/>
              <w:instrText> NUMPAGES   \* MERGEFORMAT </w:instrText>
            </w:rPr>
          </w:r>
          <w:r>
            <w:rPr>
              <w:rFonts w:ascii="Arial Narrow" w:hAnsi="Arial Narrow"/>
              <w:sz w:val="18"/>
              <w:fldChar w:fldCharType="separate"/>
            </w:rPr>
          </w:r>
          <w:r>
            <w:rPr>
              <w:rFonts w:ascii="Arial Narrow" w:hAnsi="Arial Narrow"/>
              <w:sz w:val="18"/>
              <w:fldChar w:fldCharType="end"/>
            </w:rPr>
          </w:r>
        </w:r>
      </w:p>
    </w:sdtContent>
  </w:sdt>
  <w:p>
    <w:pPr>
      <w:pStyle w:val="a4"/>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w:sdt>
    <w:sdtPr>
      <w:docPartObj>
        <w:docPartGallery w:val="Page Numbers (Top of Page)"/>
      </w:docPartObj>
    </w:sdtPr>
    <w:sdtContent>
      <w:p>
        <w:pPr>
          <w:pStyle w:val="a4"/>
        </w:pPr>
        <w:r>
          <w:rPr>
            <w:color w:val="000000"/>
            <w:rFonts w:ascii="Arial Narrow" w:hAnsi="Arial Narrow"/>
            <w:sz w:val="18"/>
          </w:rPr>
          <w:t xml:space="preserve">Договор № 00055-Ц</w:t>
        </w:r>
        <w:r>
          <w:tab/>
        </w:r>
        <w:r>
          <w:ptab w:alignment="center" w:relativeTo="margin" w:leader="none"/>
        </w:r>
        <w:r>
          <w:rPr>
            <w:color w:val="000000"/>
            <w:rFonts w:ascii="Arial Narrow" w:hAnsi="Arial Narrow"/>
            <w:sz w:val="18"/>
          </w:rPr>
          <w:t xml:space="preserve">..............................................................................................................................................................................................................................................</w:t>
        </w:r>
        <w:r>
          <w:tab/>
        </w:r>
        <w:r>
          <w:ptab w:alignment="right" w:relativeTo="margin" w:leader="none"/>
        </w:r>
        <w:r>
          <w:rPr>
            <w:color w:val="000000"/>
            <w:rFonts w:ascii="Arial Narrow" w:hAnsi="Arial Narrow"/>
            <w:sz w:val="18"/>
          </w:rPr>
          <w:t xml:space="preserve">Стр. </w:t>
        </w:r>
        <w:r>
          <w:rPr>
            <w:color w:val="000000"/>
            <w:rFonts w:ascii="Arial Narrow" w:hAnsi="Arial Narrow"/>
            <w:sz w:val="18"/>
          </w:rPr>
          <w:r>
            <w:rPr>
              <w:rFonts w:ascii="Arial Narrow" w:hAnsi="Arial Narrow"/>
              <w:sz w:val="18"/>
              <w:fldChar w:fldCharType="begin"/>
            </w:rPr>
          </w:r>
          <w:r>
            <w:rPr>
              <w:rFonts w:ascii="Arial Narrow" w:hAnsi="Arial Narrow"/>
              <w:sz w:val="18"/>
              <w:instrText> PAGE   \* MERGEFORMAT </w:instrText>
            </w:rPr>
          </w:r>
          <w:r>
            <w:rPr>
              <w:rFonts w:ascii="Arial Narrow" w:hAnsi="Arial Narrow"/>
              <w:sz w:val="18"/>
              <w:fldChar w:fldCharType="separate"/>
            </w:rPr>
          </w:r>
          <w:r>
            <w:rPr>
              <w:rFonts w:ascii="Arial Narrow" w:hAnsi="Arial Narrow"/>
              <w:sz w:val="18"/>
              <w:fldChar w:fldCharType="end"/>
            </w:rPr>
          </w:r>
        </w:r>
        <w:r>
          <w:rPr>
            <w:color w:val="000000"/>
            <w:rFonts w:ascii="Arial Narrow" w:hAnsi="Arial Narrow"/>
            <w:sz w:val="18"/>
          </w:rPr>
          <w:t xml:space="preserve"> из </w:t>
        </w:r>
        <w:r>
          <w:rPr>
            <w:color w:val="000000"/>
            <w:rFonts w:ascii="Arial Narrow" w:hAnsi="Arial Narrow"/>
            <w:sz w:val="18"/>
          </w:rPr>
          <w:r>
            <w:rPr>
              <w:rFonts w:ascii="Arial Narrow" w:hAnsi="Arial Narrow"/>
              <w:sz w:val="18"/>
              <w:fldChar w:fldCharType="begin"/>
            </w:rPr>
          </w:r>
          <w:r>
            <w:rPr>
              <w:rFonts w:ascii="Arial Narrow" w:hAnsi="Arial Narrow"/>
              <w:sz w:val="18"/>
              <w:instrText> NUMPAGES   \* MERGEFORMAT </w:instrText>
            </w:rPr>
          </w:r>
          <w:r>
            <w:rPr>
              <w:rFonts w:ascii="Arial Narrow" w:hAnsi="Arial Narrow"/>
              <w:sz w:val="18"/>
              <w:fldChar w:fldCharType="separate"/>
            </w:rPr>
          </w:r>
          <w:r>
            <w:rPr>
              <w:rFonts w:ascii="Arial Narrow" w:hAnsi="Arial Narrow"/>
              <w:sz w:val="18"/>
              <w:fldChar w:fldCharType="end"/>
            </w:rPr>
          </w:r>
        </w:r>
      </w:p>
    </w:sdtContent>
  </w:sdt>
  <w:p>
    <w:pPr>
      <w:pStyle w:val="a4"/>
    </w:pPr>
  </w:p>
</w:ftr>
</file>

<file path=word/settings.xml><?xml version="1.0" encoding="utf-8"?>
<w:settings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view w:val="web"/>
  <w:zoom w:percent="100"/>
</w:settings>
</file>

<file path=word/styles.xml><?xml version="1.0" encoding="utf-8"?>
<w:styles xmlns:r="http://schemas.openxmlformats.org/officeDocument/2006/relationships" xmlns:w="http://schemas.openxmlformats.org/wordprocessingml/2006/main">
  <w:style w:type="table" w:styleId="TableStyle0">
    <w:name w:val="TableStyle0"/>
    <w:pPr>
      <w:spacing w:after="0" w:line="240" w:lineRule="auto"/>
    </w:pPr>
    <w:rPr>
      <w:rFonts w:ascii="Arial" w:hAnsi="Arial"/>
      <w:sz w:val="16"/>
    </w:rPr>
  </w:style>
  <w:style w:type="paragraph" w:styleId="rId9">
    <w:name w:val="footer"/>
  </w:style>
  <w:style w:type="paragraph" w:styleId="rId11">
    <w:name w:val="foote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8" Type="http://schemas.openxmlformats.org/officeDocument/2006/relationships/header" Target="header1.xml"/>
	<Relationship Id="rId9" Type="http://schemas.openxmlformats.org/officeDocument/2006/relationships/footer" Target="footer1.xml"/>
	<Relationship Id="rId10" Type="http://schemas.openxmlformats.org/officeDocument/2006/relationships/header" Target="header2.xml"/>
	<Relationship Id="rId11" Type="http://schemas.openxmlformats.org/officeDocument/2006/relationships/footer" Target="footer2.xml"/>
</Relationships>
</file>